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CD010F">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CD010F">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CD010F">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150E0B59" w:rsidR="009F45A0" w:rsidRPr="009349D7" w:rsidRDefault="00CD010F" w:rsidP="00952DFE">
            <w:r w:rsidRPr="00CD010F">
              <w:t xml:space="preserve">Cellular </w:t>
            </w:r>
            <w:r>
              <w:t>p</w:t>
            </w:r>
            <w:r w:rsidRPr="00CD010F">
              <w:t xml:space="preserve">athology/Oral, </w:t>
            </w:r>
            <w:r>
              <w:t>m</w:t>
            </w:r>
            <w:r w:rsidRPr="00CD010F">
              <w:t xml:space="preserve">axillofacial and </w:t>
            </w:r>
            <w:r>
              <w:t>h</w:t>
            </w:r>
            <w:r w:rsidRPr="00CD010F">
              <w:t xml:space="preserve">ead &amp; </w:t>
            </w:r>
            <w:r>
              <w:t>n</w:t>
            </w:r>
            <w:r w:rsidRPr="00CD010F">
              <w:t xml:space="preserve">eck </w:t>
            </w:r>
            <w:r>
              <w:t>p</w:t>
            </w:r>
            <w:r w:rsidRPr="00CD010F">
              <w:t>athology</w:t>
            </w:r>
          </w:p>
        </w:tc>
      </w:tr>
      <w:tr w:rsidR="00690DA4" w:rsidRPr="00077B16" w14:paraId="13EFC558" w14:textId="77777777" w:rsidTr="00CD010F">
        <w:trPr>
          <w:trHeight w:val="469"/>
        </w:trPr>
        <w:tc>
          <w:tcPr>
            <w:tcW w:w="1737"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7891" w:type="dxa"/>
          </w:tcPr>
          <w:p w14:paraId="557F6919" w14:textId="1542AB3F" w:rsidR="00690DA4" w:rsidRPr="009349D7" w:rsidRDefault="00CD010F" w:rsidP="00952DFE">
            <w:r w:rsidRPr="00CD010F">
              <w:t>An audit of quality of reporting of biopsy specimens taken for the diagnosis and assessment of intraoral mucosal polypoid lesions</w:t>
            </w:r>
          </w:p>
        </w:tc>
      </w:tr>
      <w:tr w:rsidR="00CD010F" w:rsidRPr="00077B16" w14:paraId="2B750D7A" w14:textId="77777777" w:rsidTr="00CD010F">
        <w:trPr>
          <w:trHeight w:val="469"/>
        </w:trPr>
        <w:tc>
          <w:tcPr>
            <w:tcW w:w="1737" w:type="dxa"/>
          </w:tcPr>
          <w:p w14:paraId="70726B9A" w14:textId="77777777" w:rsidR="00CD010F" w:rsidRPr="009349D7" w:rsidRDefault="00CD010F" w:rsidP="00CD010F">
            <w:pPr>
              <w:pStyle w:val="Rowheading"/>
            </w:pPr>
            <w:r w:rsidRPr="009349D7">
              <w:t>Background</w:t>
            </w:r>
          </w:p>
        </w:tc>
        <w:tc>
          <w:tcPr>
            <w:tcW w:w="7891" w:type="dxa"/>
          </w:tcPr>
          <w:p w14:paraId="63BED818" w14:textId="000D4EF0" w:rsidR="00CD010F" w:rsidRPr="009349D7" w:rsidRDefault="00CD010F" w:rsidP="00CD010F">
            <w:r>
              <w:rPr>
                <w:rFonts w:cs="Arial"/>
              </w:rPr>
              <w:t>Most oral mucosal polyps represent examples of simple reactive processes, e.g. squamous papilloma, fibrous overgrowth or reactive vascular proliferations, that are treated adequately with excision. Occasionally, neoplastic lesions or systemic disease may masquerade as innocent-looking mucosal swellings that require further investigation or active management.</w:t>
            </w:r>
            <w:r>
              <w:rPr>
                <w:rFonts w:cs="Arial"/>
              </w:rPr>
              <w:t xml:space="preserve"> </w:t>
            </w:r>
          </w:p>
        </w:tc>
      </w:tr>
      <w:tr w:rsidR="00CD010F" w:rsidRPr="00077B16" w14:paraId="0F7C86E3" w14:textId="77777777" w:rsidTr="00CD010F">
        <w:trPr>
          <w:trHeight w:val="469"/>
        </w:trPr>
        <w:tc>
          <w:tcPr>
            <w:tcW w:w="1737" w:type="dxa"/>
          </w:tcPr>
          <w:p w14:paraId="4492C55B" w14:textId="121BA009" w:rsidR="00CD010F" w:rsidRPr="009349D7" w:rsidRDefault="00CD010F" w:rsidP="00CD010F">
            <w:pPr>
              <w:pStyle w:val="Rowheading"/>
            </w:pPr>
            <w:r w:rsidRPr="009349D7">
              <w:t>Aim &amp; objectives</w:t>
            </w:r>
          </w:p>
        </w:tc>
        <w:tc>
          <w:tcPr>
            <w:tcW w:w="7891" w:type="dxa"/>
          </w:tcPr>
          <w:p w14:paraId="03FCBB55" w14:textId="5EE88F24" w:rsidR="00CD010F" w:rsidRPr="0069714C" w:rsidRDefault="00CD010F" w:rsidP="00CD010F">
            <w:pPr>
              <w:tabs>
                <w:tab w:val="left" w:pos="33"/>
              </w:tabs>
              <w:ind w:left="33" w:hanging="33"/>
              <w:rPr>
                <w:rFonts w:cs="Arial"/>
              </w:rPr>
            </w:pPr>
            <w:r w:rsidRPr="0069714C">
              <w:rPr>
                <w:rFonts w:cs="Arial"/>
              </w:rPr>
              <w:t>To determine compliance with recommendations and standards relevant to the various steps involved in processing</w:t>
            </w:r>
            <w:r>
              <w:rPr>
                <w:rFonts w:cs="Arial"/>
              </w:rPr>
              <w:t xml:space="preserve">, </w:t>
            </w:r>
            <w:r w:rsidRPr="0069714C">
              <w:rPr>
                <w:rFonts w:cs="Arial"/>
              </w:rPr>
              <w:t xml:space="preserve">diagnosis and assessment of </w:t>
            </w:r>
            <w:r>
              <w:rPr>
                <w:rFonts w:cs="Arial"/>
              </w:rPr>
              <w:t>biopsy samples of intraoral mucosal</w:t>
            </w:r>
            <w:r w:rsidRPr="0069714C">
              <w:rPr>
                <w:rFonts w:cs="Arial"/>
              </w:rPr>
              <w:t xml:space="preserve"> </w:t>
            </w:r>
            <w:r>
              <w:rPr>
                <w:rFonts w:cs="Arial"/>
              </w:rPr>
              <w:t>polyps</w:t>
            </w:r>
            <w:r>
              <w:rPr>
                <w:rFonts w:cs="Arial"/>
              </w:rPr>
              <w:t>,</w:t>
            </w:r>
            <w:r w:rsidRPr="0069714C">
              <w:rPr>
                <w:rFonts w:cs="Arial"/>
              </w:rPr>
              <w:t xml:space="preserve"> including:</w:t>
            </w:r>
          </w:p>
          <w:p w14:paraId="11AB63C7" w14:textId="77777777" w:rsidR="00CD010F" w:rsidRPr="0069714C" w:rsidRDefault="00CD010F" w:rsidP="00CD010F">
            <w:pPr>
              <w:pStyle w:val="ListParagraph"/>
            </w:pPr>
            <w:r w:rsidRPr="0069714C">
              <w:t>adequacy of clinical information</w:t>
            </w:r>
          </w:p>
          <w:p w14:paraId="771F9019" w14:textId="77777777" w:rsidR="00CD010F" w:rsidRPr="0069714C" w:rsidRDefault="00CD010F" w:rsidP="00CD010F">
            <w:pPr>
              <w:pStyle w:val="ListParagraph"/>
            </w:pPr>
            <w:r w:rsidRPr="0069714C">
              <w:t>appropriateness of sampling</w:t>
            </w:r>
          </w:p>
          <w:p w14:paraId="10E801E0" w14:textId="77777777" w:rsidR="00CD010F" w:rsidRPr="0069714C" w:rsidRDefault="00CD010F" w:rsidP="00CD010F">
            <w:pPr>
              <w:pStyle w:val="ListParagraph"/>
            </w:pPr>
            <w:r w:rsidRPr="0069714C">
              <w:t>adequacy of macroscopic description and processing</w:t>
            </w:r>
          </w:p>
          <w:p w14:paraId="4DAA0B33" w14:textId="2F9CAC58" w:rsidR="00CD010F" w:rsidRPr="00781C28" w:rsidRDefault="00CD010F" w:rsidP="00CD010F">
            <w:pPr>
              <w:pStyle w:val="ListParagraph"/>
            </w:pPr>
            <w:r w:rsidRPr="0069714C">
              <w:t>quality of microscopic description, report and interpretation</w:t>
            </w:r>
            <w:r>
              <w:t>.</w:t>
            </w:r>
          </w:p>
        </w:tc>
      </w:tr>
      <w:tr w:rsidR="00CD010F" w:rsidRPr="00077B16" w14:paraId="4FF25260" w14:textId="77777777" w:rsidTr="00CD010F">
        <w:trPr>
          <w:trHeight w:val="119"/>
        </w:trPr>
        <w:tc>
          <w:tcPr>
            <w:tcW w:w="1737" w:type="dxa"/>
          </w:tcPr>
          <w:p w14:paraId="374F6066" w14:textId="664AEB7E" w:rsidR="00CD010F" w:rsidRPr="009349D7" w:rsidRDefault="00CD010F" w:rsidP="00CD010F">
            <w:pPr>
              <w:pStyle w:val="Rowheading"/>
            </w:pPr>
            <w:r w:rsidRPr="009349D7">
              <w:t>Standards &amp; criteria</w:t>
            </w:r>
          </w:p>
        </w:tc>
        <w:tc>
          <w:tcPr>
            <w:tcW w:w="7891" w:type="dxa"/>
          </w:tcPr>
          <w:p w14:paraId="24F586FD" w14:textId="77777777" w:rsidR="00CD010F" w:rsidRPr="0069714C" w:rsidRDefault="00CD010F" w:rsidP="00CD010F">
            <w:pPr>
              <w:tabs>
                <w:tab w:val="left" w:pos="317"/>
              </w:tabs>
              <w:rPr>
                <w:rFonts w:cs="Arial"/>
                <w:b/>
              </w:rPr>
            </w:pPr>
            <w:r w:rsidRPr="0069714C">
              <w:rPr>
                <w:rFonts w:cs="Arial"/>
                <w:b/>
              </w:rPr>
              <w:t xml:space="preserve">Criteria range: </w:t>
            </w:r>
          </w:p>
          <w:p w14:paraId="7A486D8D" w14:textId="4B36C43B" w:rsidR="00CD010F" w:rsidRPr="0069714C" w:rsidRDefault="00CD010F" w:rsidP="00CD010F">
            <w:pPr>
              <w:tabs>
                <w:tab w:val="left" w:pos="317"/>
              </w:tabs>
              <w:spacing w:after="120"/>
              <w:rPr>
                <w:rFonts w:cs="Arial"/>
              </w:rPr>
            </w:pPr>
            <w:r>
              <w:rPr>
                <w:rFonts w:cs="Arial"/>
              </w:rPr>
              <w:t>Some i</w:t>
            </w:r>
            <w:r w:rsidRPr="0069714C">
              <w:rPr>
                <w:rFonts w:cs="Arial"/>
              </w:rPr>
              <w:t xml:space="preserve">tems </w:t>
            </w:r>
            <w:r>
              <w:rPr>
                <w:rFonts w:cs="Arial"/>
              </w:rPr>
              <w:t xml:space="preserve">(e.g. Item 2b </w:t>
            </w:r>
            <w:r>
              <w:rPr>
                <w:rFonts w:cs="Arial"/>
              </w:rPr>
              <w:t>‘</w:t>
            </w:r>
            <w:r>
              <w:rPr>
                <w:rFonts w:cs="Arial"/>
              </w:rPr>
              <w:t>Appearances of lesion</w:t>
            </w:r>
            <w:r>
              <w:rPr>
                <w:rFonts w:cs="Arial"/>
              </w:rPr>
              <w:t>’</w:t>
            </w:r>
            <w:r>
              <w:rPr>
                <w:rFonts w:cs="Arial"/>
              </w:rPr>
              <w:t xml:space="preserve">) are not necessary to permit interpretation of the histological findings and </w:t>
            </w:r>
            <w:r w:rsidRPr="0069714C">
              <w:rPr>
                <w:rFonts w:cs="Arial"/>
              </w:rPr>
              <w:t xml:space="preserve">do not require </w:t>
            </w:r>
            <w:r w:rsidRPr="0069714C">
              <w:rPr>
                <w:rFonts w:cs="Arial"/>
              </w:rPr>
              <w:lastRenderedPageBreak/>
              <w:t>compliance as such.</w:t>
            </w:r>
            <w:r>
              <w:rPr>
                <w:rFonts w:cs="Arial"/>
              </w:rPr>
              <w:t xml:space="preserve"> </w:t>
            </w:r>
            <w:r>
              <w:rPr>
                <w:rFonts w:cs="Arial"/>
              </w:rPr>
              <w:t>They are regarded as e</w:t>
            </w:r>
            <w:r w:rsidRPr="0069714C">
              <w:rPr>
                <w:rFonts w:cs="Arial"/>
              </w:rPr>
              <w:t xml:space="preserve">xamples of good </w:t>
            </w:r>
            <w:r>
              <w:rPr>
                <w:rFonts w:cs="Arial"/>
              </w:rPr>
              <w:t xml:space="preserve">clinical </w:t>
            </w:r>
            <w:r w:rsidRPr="0069714C">
              <w:rPr>
                <w:rFonts w:cs="Arial"/>
              </w:rPr>
              <w:t>practice</w:t>
            </w:r>
            <w:r>
              <w:rPr>
                <w:rFonts w:cs="Arial"/>
              </w:rPr>
              <w:t>, reflecting the quality of the communication between the clinical team and the pathologist.</w:t>
            </w:r>
            <w:r>
              <w:rPr>
                <w:rFonts w:cs="Arial"/>
              </w:rPr>
              <w:t xml:space="preserve"> </w:t>
            </w:r>
          </w:p>
          <w:p w14:paraId="479FABAA" w14:textId="0EFCB0DE" w:rsidR="00CD010F" w:rsidRPr="0069714C" w:rsidRDefault="00CD010F" w:rsidP="00CD010F">
            <w:pPr>
              <w:tabs>
                <w:tab w:val="left" w:pos="317"/>
              </w:tabs>
              <w:spacing w:after="120"/>
              <w:rPr>
                <w:rFonts w:cs="Arial"/>
              </w:rPr>
            </w:pPr>
            <w:r w:rsidRPr="0069714C">
              <w:rPr>
                <w:rFonts w:cs="Arial"/>
              </w:rPr>
              <w:t xml:space="preserve">Item </w:t>
            </w:r>
            <w:r>
              <w:rPr>
                <w:rFonts w:cs="Arial"/>
              </w:rPr>
              <w:t>13</w:t>
            </w:r>
            <w:r w:rsidRPr="0069714C">
              <w:rPr>
                <w:rFonts w:cs="Arial"/>
              </w:rPr>
              <w:t xml:space="preserve"> (</w:t>
            </w:r>
            <w:r>
              <w:rPr>
                <w:rFonts w:cs="Arial"/>
              </w:rPr>
              <w:t>T</w:t>
            </w:r>
            <w:r w:rsidRPr="0069714C">
              <w:rPr>
                <w:rFonts w:cs="Arial"/>
              </w:rPr>
              <w:t xml:space="preserve">urnaround time): </w:t>
            </w:r>
            <w:r>
              <w:rPr>
                <w:rFonts w:cs="Arial"/>
              </w:rPr>
              <w:t>the proportion</w:t>
            </w:r>
            <w:r w:rsidRPr="0069714C">
              <w:rPr>
                <w:rFonts w:cs="Arial"/>
              </w:rPr>
              <w:t xml:space="preserve"> of reports authorised and available within </w:t>
            </w:r>
            <w:r>
              <w:rPr>
                <w:rFonts w:cs="Arial"/>
              </w:rPr>
              <w:t xml:space="preserve">an agreed number of calendar </w:t>
            </w:r>
            <w:r w:rsidRPr="0069714C">
              <w:rPr>
                <w:rFonts w:cs="Arial"/>
              </w:rPr>
              <w:t xml:space="preserve">days of the biopsy date as </w:t>
            </w:r>
            <w:r>
              <w:rPr>
                <w:rFonts w:cs="Arial"/>
              </w:rPr>
              <w:t>agreed locally for the patient pathway</w:t>
            </w:r>
            <w:r>
              <w:rPr>
                <w:rFonts w:cs="Arial"/>
              </w:rPr>
              <w:t>.</w:t>
            </w:r>
          </w:p>
          <w:p w14:paraId="538972E5" w14:textId="77777777" w:rsidR="00CD010F" w:rsidRPr="0069714C" w:rsidRDefault="00CD010F" w:rsidP="00CD010F">
            <w:pPr>
              <w:tabs>
                <w:tab w:val="left" w:pos="317"/>
              </w:tabs>
              <w:rPr>
                <w:rFonts w:cs="Arial"/>
              </w:rPr>
            </w:pPr>
            <w:r w:rsidRPr="0069714C">
              <w:rPr>
                <w:rFonts w:cs="Arial"/>
              </w:rPr>
              <w:t>Other items: 100%, or, if not achieved, the existence of documentation that explains the variance.</w:t>
            </w:r>
          </w:p>
          <w:p w14:paraId="5B09A8BC" w14:textId="77777777" w:rsidR="00CD010F" w:rsidRDefault="00CD010F" w:rsidP="00CD010F">
            <w:pPr>
              <w:tabs>
                <w:tab w:val="left" w:pos="317"/>
              </w:tabs>
              <w:rPr>
                <w:rFonts w:cs="Arial"/>
              </w:rPr>
            </w:pPr>
          </w:p>
          <w:p w14:paraId="1C9B2391" w14:textId="77777777" w:rsidR="00CD010F" w:rsidRPr="0069714C" w:rsidRDefault="00CD010F" w:rsidP="00CD010F">
            <w:pPr>
              <w:tabs>
                <w:tab w:val="left" w:pos="317"/>
              </w:tabs>
              <w:rPr>
                <w:rFonts w:cs="Arial"/>
                <w:b/>
              </w:rPr>
            </w:pPr>
            <w:r>
              <w:rPr>
                <w:rFonts w:cs="Arial"/>
                <w:b/>
              </w:rPr>
              <w:t>Cl</w:t>
            </w:r>
            <w:r w:rsidRPr="0069714C">
              <w:rPr>
                <w:rFonts w:cs="Arial"/>
                <w:b/>
              </w:rPr>
              <w:t>inical</w:t>
            </w:r>
          </w:p>
          <w:p w14:paraId="06B04167" w14:textId="1DF854FE" w:rsidR="00CD010F" w:rsidRPr="0069714C" w:rsidRDefault="00CD010F" w:rsidP="00CD010F">
            <w:pPr>
              <w:tabs>
                <w:tab w:val="left" w:pos="317"/>
              </w:tabs>
              <w:rPr>
                <w:rFonts w:cs="Arial"/>
              </w:rPr>
            </w:pPr>
            <w:r>
              <w:rPr>
                <w:rFonts w:cs="Arial"/>
              </w:rPr>
              <w:t>The c</w:t>
            </w:r>
            <w:r w:rsidRPr="0069714C">
              <w:rPr>
                <w:rFonts w:cs="Arial"/>
              </w:rPr>
              <w:t xml:space="preserve">linical indication </w:t>
            </w:r>
            <w:r>
              <w:rPr>
                <w:rFonts w:cs="Arial"/>
              </w:rPr>
              <w:t xml:space="preserve">for biopsy </w:t>
            </w:r>
            <w:r w:rsidRPr="0069714C">
              <w:rPr>
                <w:rFonts w:cs="Arial"/>
              </w:rPr>
              <w:t xml:space="preserve">should be stated (e.g. </w:t>
            </w:r>
            <w:r>
              <w:rPr>
                <w:rFonts w:cs="Arial"/>
              </w:rPr>
              <w:t>presence of a mucosal swelling</w:t>
            </w:r>
            <w:r w:rsidRPr="0069714C">
              <w:rPr>
                <w:rFonts w:cs="Arial"/>
              </w:rPr>
              <w:t>).</w:t>
            </w:r>
            <w:r>
              <w:rPr>
                <w:rFonts w:cs="Arial"/>
              </w:rPr>
              <w:t xml:space="preserve"> </w:t>
            </w:r>
            <w:r>
              <w:rPr>
                <w:rFonts w:cs="Arial"/>
              </w:rPr>
              <w:t>A description of the site(s), extent and appearances of the abnormality (e.g. solid or cystic, ulcerated, discoloured) and knowledge of the relationship with adjacent tissues (e.g. proximity to teeth or a denture) aid interpretation.</w:t>
            </w:r>
            <w:r>
              <w:rPr>
                <w:rFonts w:cs="Arial"/>
              </w:rPr>
              <w:t xml:space="preserve"> </w:t>
            </w:r>
          </w:p>
          <w:p w14:paraId="32C9CA16" w14:textId="77777777" w:rsidR="00CD010F" w:rsidRPr="0069714C" w:rsidRDefault="00CD010F" w:rsidP="00CD010F">
            <w:pPr>
              <w:tabs>
                <w:tab w:val="left" w:pos="317"/>
              </w:tabs>
              <w:ind w:left="317" w:hanging="317"/>
              <w:rPr>
                <w:rFonts w:cs="Arial"/>
              </w:rPr>
            </w:pPr>
          </w:p>
          <w:p w14:paraId="025A7447" w14:textId="77777777" w:rsidR="00CD010F" w:rsidRPr="0069714C" w:rsidRDefault="00CD010F" w:rsidP="00CD010F">
            <w:pPr>
              <w:tabs>
                <w:tab w:val="left" w:pos="317"/>
              </w:tabs>
              <w:ind w:left="317" w:hanging="317"/>
              <w:rPr>
                <w:rFonts w:cs="Arial"/>
                <w:b/>
              </w:rPr>
            </w:pPr>
            <w:r w:rsidRPr="0069714C">
              <w:rPr>
                <w:rFonts w:cs="Arial"/>
                <w:b/>
              </w:rPr>
              <w:t>Site of origin</w:t>
            </w:r>
          </w:p>
          <w:p w14:paraId="632B89CE" w14:textId="12EE7B5E" w:rsidR="00CD010F" w:rsidRPr="0069714C" w:rsidRDefault="00CD010F" w:rsidP="00CD010F">
            <w:pPr>
              <w:tabs>
                <w:tab w:val="left" w:pos="317"/>
              </w:tabs>
              <w:rPr>
                <w:rFonts w:cs="Arial"/>
              </w:rPr>
            </w:pPr>
            <w:r w:rsidRPr="0069714C">
              <w:rPr>
                <w:rFonts w:cs="Arial"/>
              </w:rPr>
              <w:t xml:space="preserve">Biopsies from different parts of the </w:t>
            </w:r>
            <w:r>
              <w:rPr>
                <w:rFonts w:cs="Arial"/>
              </w:rPr>
              <w:t>oral cavity</w:t>
            </w:r>
            <w:r w:rsidRPr="0069714C">
              <w:rPr>
                <w:rFonts w:cs="Arial"/>
              </w:rPr>
              <w:t xml:space="preserve"> should be submitted and processed in such a way that their site of origin is identifiable.</w:t>
            </w:r>
            <w:r>
              <w:rPr>
                <w:rFonts w:cs="Arial"/>
              </w:rPr>
              <w:t xml:space="preserve"> </w:t>
            </w:r>
            <w:r w:rsidRPr="0069714C">
              <w:rPr>
                <w:rFonts w:cs="Arial"/>
              </w:rPr>
              <w:t>If the site of a biopsy is not identifiable</w:t>
            </w:r>
            <w:r>
              <w:rPr>
                <w:rFonts w:cs="Arial"/>
              </w:rPr>
              <w:t>,</w:t>
            </w:r>
            <w:r w:rsidRPr="0069714C">
              <w:rPr>
                <w:rFonts w:cs="Arial"/>
              </w:rPr>
              <w:t xml:space="preserve"> the audit response is </w:t>
            </w:r>
            <w:r>
              <w:rPr>
                <w:rFonts w:cs="Arial"/>
              </w:rPr>
              <w:t>‘</w:t>
            </w:r>
            <w:r w:rsidRPr="0069714C">
              <w:rPr>
                <w:rFonts w:cs="Arial"/>
              </w:rPr>
              <w:t>no</w:t>
            </w:r>
            <w:r>
              <w:rPr>
                <w:rFonts w:cs="Arial"/>
              </w:rPr>
              <w:t>’</w:t>
            </w:r>
            <w:r w:rsidRPr="0069714C">
              <w:rPr>
                <w:rFonts w:cs="Arial"/>
              </w:rPr>
              <w:t>, but discretion is advised.</w:t>
            </w:r>
            <w:r>
              <w:rPr>
                <w:rFonts w:cs="Arial"/>
              </w:rPr>
              <w:t xml:space="preserve"> </w:t>
            </w:r>
          </w:p>
          <w:p w14:paraId="18527EA7" w14:textId="77777777" w:rsidR="00CD010F" w:rsidRPr="0069714C" w:rsidRDefault="00CD010F" w:rsidP="00CD010F">
            <w:pPr>
              <w:tabs>
                <w:tab w:val="left" w:pos="317"/>
              </w:tabs>
              <w:rPr>
                <w:rFonts w:cs="Arial"/>
              </w:rPr>
            </w:pPr>
          </w:p>
          <w:p w14:paraId="2FD19CD8" w14:textId="77777777" w:rsidR="00CD010F" w:rsidRPr="0069714C" w:rsidRDefault="00CD010F" w:rsidP="00CD010F">
            <w:pPr>
              <w:tabs>
                <w:tab w:val="left" w:pos="317"/>
              </w:tabs>
              <w:rPr>
                <w:rFonts w:cs="Arial"/>
                <w:b/>
              </w:rPr>
            </w:pPr>
            <w:r w:rsidRPr="0069714C">
              <w:rPr>
                <w:rFonts w:cs="Arial"/>
                <w:b/>
              </w:rPr>
              <w:t>Macroscopic description</w:t>
            </w:r>
          </w:p>
          <w:p w14:paraId="177ACB96" w14:textId="47D048C7" w:rsidR="00CD010F" w:rsidRPr="0069714C" w:rsidRDefault="00CD010F" w:rsidP="00CD010F">
            <w:pPr>
              <w:tabs>
                <w:tab w:val="left" w:pos="317"/>
              </w:tabs>
              <w:rPr>
                <w:rFonts w:cs="Arial"/>
              </w:rPr>
            </w:pPr>
            <w:r>
              <w:rPr>
                <w:rFonts w:cs="Arial"/>
              </w:rPr>
              <w:t>Small and/or fragmented biopsy specimens can be difficult to orientate and interpret.</w:t>
            </w:r>
            <w:r>
              <w:rPr>
                <w:rFonts w:cs="Arial"/>
              </w:rPr>
              <w:t xml:space="preserve"> </w:t>
            </w:r>
            <w:r>
              <w:rPr>
                <w:rFonts w:cs="Arial"/>
              </w:rPr>
              <w:t>Recording such findings may provide partial explanation of equivocal reports.</w:t>
            </w:r>
            <w:r>
              <w:rPr>
                <w:rFonts w:cs="Arial"/>
              </w:rPr>
              <w:t xml:space="preserve"> </w:t>
            </w:r>
          </w:p>
          <w:p w14:paraId="5CE0E70C" w14:textId="77777777" w:rsidR="00CD010F" w:rsidRPr="0069714C" w:rsidRDefault="00CD010F" w:rsidP="00CD010F">
            <w:pPr>
              <w:tabs>
                <w:tab w:val="left" w:pos="317"/>
              </w:tabs>
              <w:rPr>
                <w:rFonts w:cs="Arial"/>
              </w:rPr>
            </w:pPr>
          </w:p>
          <w:p w14:paraId="3B0CA1FC" w14:textId="77777777" w:rsidR="00CD010F" w:rsidRPr="0069714C" w:rsidRDefault="00CD010F" w:rsidP="00CD010F">
            <w:pPr>
              <w:tabs>
                <w:tab w:val="left" w:pos="317"/>
              </w:tabs>
              <w:rPr>
                <w:rFonts w:cs="Arial"/>
                <w:b/>
              </w:rPr>
            </w:pPr>
            <w:r>
              <w:rPr>
                <w:rFonts w:cs="Arial"/>
                <w:b/>
              </w:rPr>
              <w:t>Slide preparation</w:t>
            </w:r>
          </w:p>
          <w:p w14:paraId="6EAF063A" w14:textId="2CC8652D" w:rsidR="00CD010F" w:rsidRDefault="00CD010F" w:rsidP="00CD010F">
            <w:pPr>
              <w:tabs>
                <w:tab w:val="left" w:pos="317"/>
              </w:tabs>
              <w:rPr>
                <w:rFonts w:cs="Arial"/>
              </w:rPr>
            </w:pPr>
            <w:r w:rsidRPr="0069714C">
              <w:rPr>
                <w:rFonts w:cs="Arial"/>
              </w:rPr>
              <w:t>A</w:t>
            </w:r>
            <w:r>
              <w:rPr>
                <w:rFonts w:cs="Arial"/>
              </w:rPr>
              <w:t xml:space="preserve">t </w:t>
            </w:r>
            <w:r w:rsidRPr="0069714C">
              <w:rPr>
                <w:rFonts w:cs="Arial"/>
              </w:rPr>
              <w:t>l</w:t>
            </w:r>
            <w:r>
              <w:rPr>
                <w:rFonts w:cs="Arial"/>
              </w:rPr>
              <w:t xml:space="preserve">east </w:t>
            </w:r>
            <w:r>
              <w:rPr>
                <w:rFonts w:cs="Arial"/>
              </w:rPr>
              <w:t>1</w:t>
            </w:r>
            <w:r>
              <w:rPr>
                <w:rFonts w:cs="Arial"/>
              </w:rPr>
              <w:t xml:space="preserve"> H&amp;E-stained slide should be examined for each tissue block processed</w:t>
            </w:r>
            <w:r w:rsidRPr="0069714C">
              <w:rPr>
                <w:rFonts w:cs="Arial"/>
              </w:rPr>
              <w:t>.</w:t>
            </w:r>
            <w:r>
              <w:rPr>
                <w:rFonts w:cs="Arial"/>
              </w:rPr>
              <w:t xml:space="preserve"> </w:t>
            </w:r>
          </w:p>
          <w:p w14:paraId="4B8EDC6D" w14:textId="77777777" w:rsidR="00CD010F" w:rsidRDefault="00CD010F" w:rsidP="00CD010F">
            <w:pPr>
              <w:tabs>
                <w:tab w:val="left" w:pos="317"/>
              </w:tabs>
              <w:rPr>
                <w:rFonts w:cs="Arial"/>
              </w:rPr>
            </w:pPr>
          </w:p>
          <w:p w14:paraId="36EA91CB" w14:textId="77777777" w:rsidR="00CD010F" w:rsidRPr="0069714C" w:rsidRDefault="00CD010F" w:rsidP="00CD010F">
            <w:pPr>
              <w:tabs>
                <w:tab w:val="left" w:pos="317"/>
              </w:tabs>
              <w:rPr>
                <w:rFonts w:cs="Arial"/>
              </w:rPr>
            </w:pPr>
          </w:p>
          <w:p w14:paraId="42AB1717" w14:textId="77777777" w:rsidR="00CD010F" w:rsidRPr="0069714C" w:rsidRDefault="00CD010F" w:rsidP="00CD010F">
            <w:pPr>
              <w:tabs>
                <w:tab w:val="left" w:pos="317"/>
              </w:tabs>
              <w:rPr>
                <w:rFonts w:cs="Arial"/>
                <w:b/>
              </w:rPr>
            </w:pPr>
            <w:r w:rsidRPr="0069714C">
              <w:rPr>
                <w:rFonts w:cs="Arial"/>
                <w:b/>
              </w:rPr>
              <w:lastRenderedPageBreak/>
              <w:t>Microscopic report</w:t>
            </w:r>
          </w:p>
          <w:p w14:paraId="38A1B0DC" w14:textId="567194D1" w:rsidR="00CD010F" w:rsidRPr="0069714C" w:rsidRDefault="00CD010F" w:rsidP="00CD010F">
            <w:pPr>
              <w:pStyle w:val="ListParagraph"/>
              <w:tabs>
                <w:tab w:val="clear" w:pos="360"/>
              </w:tabs>
            </w:pPr>
            <w:r>
              <w:t>The report should describe the changes in the oral mucosa, bearing in mind the usual histological differences between subsites, e.g. conditions characterised by fibroepithelial hyperplasia/fibrous overgrowth can demonstrate a spectrum of changes whether the lesions are located on the gingiva, denture-bearing areas or lining-type mucosa.</w:t>
            </w:r>
            <w:r>
              <w:t xml:space="preserve"> </w:t>
            </w:r>
            <w:r>
              <w:t xml:space="preserve">Similarly, secondary changes due to superadded mucosal trauma or </w:t>
            </w:r>
            <w:proofErr w:type="spellStart"/>
            <w:r>
              <w:t>candidal</w:t>
            </w:r>
            <w:proofErr w:type="spellEnd"/>
            <w:r>
              <w:t xml:space="preserve"> infection</w:t>
            </w:r>
            <w:r>
              <w:t>,</w:t>
            </w:r>
            <w:r>
              <w:t xml:space="preserve"> for example, can distort the morphology and merit mention.</w:t>
            </w:r>
            <w:r>
              <w:t xml:space="preserve"> </w:t>
            </w:r>
            <w:r>
              <w:t>The differential diagnosis of intraoral mucosal polyps includes conditions that have specific histopathological features, offering the opportunity to redress clinical uncertainty and provide definitive diagnosis.</w:t>
            </w:r>
            <w:r>
              <w:t xml:space="preserve"> </w:t>
            </w:r>
          </w:p>
          <w:p w14:paraId="2E0ACA27" w14:textId="77777777" w:rsidR="00CD010F" w:rsidRPr="0069714C" w:rsidRDefault="00CD010F" w:rsidP="00CD010F">
            <w:pPr>
              <w:tabs>
                <w:tab w:val="left" w:pos="317"/>
              </w:tabs>
              <w:rPr>
                <w:rFonts w:cs="Arial"/>
              </w:rPr>
            </w:pPr>
          </w:p>
          <w:p w14:paraId="6EFA1906" w14:textId="77777777" w:rsidR="00CD010F" w:rsidRPr="0069714C" w:rsidRDefault="00CD010F" w:rsidP="00CD010F">
            <w:pPr>
              <w:tabs>
                <w:tab w:val="left" w:pos="317"/>
              </w:tabs>
              <w:rPr>
                <w:rFonts w:cs="Arial"/>
                <w:b/>
              </w:rPr>
            </w:pPr>
            <w:r w:rsidRPr="0069714C">
              <w:rPr>
                <w:rFonts w:cs="Arial"/>
                <w:b/>
              </w:rPr>
              <w:t>Turnaround time</w:t>
            </w:r>
          </w:p>
          <w:p w14:paraId="44E2E830" w14:textId="4C4833FC" w:rsidR="00CD010F" w:rsidRPr="00CD010F" w:rsidRDefault="00CD010F" w:rsidP="00CD010F">
            <w:pPr>
              <w:tabs>
                <w:tab w:val="left" w:pos="317"/>
              </w:tabs>
              <w:rPr>
                <w:rFonts w:cs="Arial"/>
                <w:vertAlign w:val="superscript"/>
              </w:rPr>
            </w:pPr>
            <w:r>
              <w:rPr>
                <w:rFonts w:cs="Arial"/>
              </w:rPr>
              <w:t xml:space="preserve">Compliance with the </w:t>
            </w:r>
            <w:r w:rsidRPr="00E76D25">
              <w:rPr>
                <w:rFonts w:cs="Arial"/>
              </w:rPr>
              <w:t xml:space="preserve">agreement between the laboratory and users of the laboratory services regarding </w:t>
            </w:r>
            <w:r>
              <w:rPr>
                <w:rFonts w:cs="Arial"/>
              </w:rPr>
              <w:t xml:space="preserve">the proportion of cases compliant with </w:t>
            </w:r>
            <w:r w:rsidRPr="00E76D25">
              <w:rPr>
                <w:rFonts w:cs="Arial"/>
              </w:rPr>
              <w:t xml:space="preserve">turnaround times for </w:t>
            </w:r>
            <w:r>
              <w:rPr>
                <w:rFonts w:cs="Arial"/>
              </w:rPr>
              <w:t xml:space="preserve">this </w:t>
            </w:r>
            <w:r w:rsidRPr="00E76D25">
              <w:rPr>
                <w:rFonts w:cs="Arial"/>
              </w:rPr>
              <w:t>specific patient pathway</w:t>
            </w:r>
            <w:r>
              <w:rPr>
                <w:rFonts w:cs="Arial"/>
              </w:rPr>
              <w:t>.</w:t>
            </w:r>
            <w:r>
              <w:rPr>
                <w:rFonts w:cs="Arial"/>
                <w:vertAlign w:val="superscript"/>
              </w:rPr>
              <w:t>1</w:t>
            </w:r>
            <w:r>
              <w:rPr>
                <w:rFonts w:cs="Arial"/>
                <w:vertAlign w:val="superscript"/>
              </w:rPr>
              <w:t>,</w:t>
            </w:r>
            <w:r>
              <w:rPr>
                <w:rFonts w:cs="Arial"/>
                <w:vertAlign w:val="superscript"/>
              </w:rPr>
              <w:t>2</w:t>
            </w:r>
          </w:p>
        </w:tc>
      </w:tr>
      <w:tr w:rsidR="00CD010F" w:rsidRPr="00077B16" w14:paraId="14094681" w14:textId="77777777" w:rsidTr="00CD010F">
        <w:trPr>
          <w:cantSplit/>
          <w:trHeight w:val="469"/>
        </w:trPr>
        <w:tc>
          <w:tcPr>
            <w:tcW w:w="1737" w:type="dxa"/>
          </w:tcPr>
          <w:p w14:paraId="1E4F1E05" w14:textId="77777777" w:rsidR="00CD010F" w:rsidRPr="009349D7" w:rsidRDefault="00CD010F" w:rsidP="00CD010F">
            <w:pPr>
              <w:pStyle w:val="Rowheading"/>
            </w:pPr>
            <w:r w:rsidRPr="009349D7">
              <w:lastRenderedPageBreak/>
              <w:t>Method</w:t>
            </w:r>
          </w:p>
          <w:p w14:paraId="5C3F63EE" w14:textId="77777777" w:rsidR="00CD010F" w:rsidRPr="009349D7" w:rsidRDefault="00CD010F" w:rsidP="00CD010F">
            <w:pPr>
              <w:rPr>
                <w:rFonts w:cs="Arial"/>
                <w:b/>
                <w:szCs w:val="24"/>
              </w:rPr>
            </w:pPr>
          </w:p>
        </w:tc>
        <w:tc>
          <w:tcPr>
            <w:tcW w:w="7891" w:type="dxa"/>
          </w:tcPr>
          <w:p w14:paraId="06E9918F" w14:textId="5C96CFFF" w:rsidR="00CD010F" w:rsidRPr="009349D7" w:rsidRDefault="00CD010F" w:rsidP="00CD010F">
            <w:pPr>
              <w:rPr>
                <w:b/>
              </w:rPr>
            </w:pPr>
            <w:r w:rsidRPr="009349D7">
              <w:rPr>
                <w:b/>
              </w:rPr>
              <w:t xml:space="preserve">Sample selection: </w:t>
            </w:r>
          </w:p>
          <w:p w14:paraId="41336E50" w14:textId="0A3D69FD" w:rsidR="00CD010F" w:rsidRPr="0069714C" w:rsidRDefault="00CD010F" w:rsidP="00CD010F">
            <w:pPr>
              <w:pStyle w:val="ListParagraph"/>
              <w:ind w:left="0"/>
              <w:rPr>
                <w:rFonts w:cs="Arial"/>
                <w:color w:val="000000"/>
              </w:rPr>
            </w:pPr>
            <w:r w:rsidRPr="0069714C">
              <w:rPr>
                <w:rFonts w:cs="Arial"/>
                <w:color w:val="000000"/>
              </w:rPr>
              <w:t xml:space="preserve">At least 25 cases from local archives, ideally sequential and from the past </w:t>
            </w:r>
            <w:r>
              <w:rPr>
                <w:rFonts w:cs="Arial"/>
                <w:color w:val="000000"/>
              </w:rPr>
              <w:t>2</w:t>
            </w:r>
            <w:r w:rsidRPr="0069714C">
              <w:rPr>
                <w:rFonts w:cs="Arial"/>
                <w:color w:val="000000"/>
              </w:rPr>
              <w:t xml:space="preserve"> years.</w:t>
            </w:r>
          </w:p>
          <w:p w14:paraId="2E47D027" w14:textId="50EB6478" w:rsidR="00CD010F" w:rsidRPr="009349D7" w:rsidRDefault="00CD010F" w:rsidP="00CD010F">
            <w:pPr>
              <w:rPr>
                <w:b/>
                <w:color w:val="000000"/>
              </w:rPr>
            </w:pPr>
            <w:r w:rsidRPr="009349D7">
              <w:rPr>
                <w:b/>
                <w:color w:val="000000"/>
              </w:rPr>
              <w:t>Data to be collected on proforma (see below).</w:t>
            </w:r>
          </w:p>
        </w:tc>
      </w:tr>
      <w:tr w:rsidR="00CD010F" w:rsidRPr="00077B16" w14:paraId="4EF29E2B" w14:textId="77777777" w:rsidTr="00CD010F">
        <w:trPr>
          <w:trHeight w:val="469"/>
        </w:trPr>
        <w:tc>
          <w:tcPr>
            <w:tcW w:w="1737" w:type="dxa"/>
          </w:tcPr>
          <w:p w14:paraId="42E290A4" w14:textId="77777777" w:rsidR="00CD010F" w:rsidRPr="009349D7" w:rsidRDefault="00CD010F" w:rsidP="00CD010F">
            <w:pPr>
              <w:pStyle w:val="Rowheading"/>
            </w:pPr>
            <w:r w:rsidRPr="009349D7">
              <w:t>Results</w:t>
            </w:r>
          </w:p>
        </w:tc>
        <w:tc>
          <w:tcPr>
            <w:tcW w:w="7891" w:type="dxa"/>
          </w:tcPr>
          <w:p w14:paraId="08D3ABE3" w14:textId="77777777" w:rsidR="00CD010F" w:rsidRPr="009349D7" w:rsidRDefault="00CD010F" w:rsidP="00CD010F">
            <w:pPr>
              <w:pStyle w:val="Bodytextredfont"/>
            </w:pPr>
            <w:r w:rsidRPr="009349D7">
              <w:t xml:space="preserve">(To be </w:t>
            </w:r>
            <w:r w:rsidRPr="0029610F">
              <w:t>completed</w:t>
            </w:r>
            <w:r w:rsidRPr="009349D7">
              <w:t xml:space="preserve"> by the author)</w:t>
            </w:r>
          </w:p>
          <w:p w14:paraId="3B75E1CE" w14:textId="3413C1F3" w:rsidR="00CD010F" w:rsidRPr="009349D7" w:rsidRDefault="00CD010F" w:rsidP="00CD010F">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CD010F" w:rsidRPr="009349D7" w14:paraId="624323B5" w14:textId="77777777" w:rsidTr="00CD010F">
              <w:trPr>
                <w:trHeight w:val="300"/>
              </w:trPr>
              <w:tc>
                <w:tcPr>
                  <w:tcW w:w="3430" w:type="dxa"/>
                </w:tcPr>
                <w:p w14:paraId="16A872BC" w14:textId="77777777" w:rsidR="00CD010F" w:rsidRPr="009349D7" w:rsidRDefault="00CD010F" w:rsidP="00CD010F">
                  <w:pPr>
                    <w:pStyle w:val="Tabletext"/>
                  </w:pPr>
                </w:p>
              </w:tc>
              <w:tc>
                <w:tcPr>
                  <w:tcW w:w="3969" w:type="dxa"/>
                </w:tcPr>
                <w:p w14:paraId="0DBB373F" w14:textId="77777777" w:rsidR="00CD010F" w:rsidRPr="009349D7" w:rsidRDefault="00CD010F" w:rsidP="00CD010F">
                  <w:pPr>
                    <w:pStyle w:val="Tablecolumnheading"/>
                  </w:pPr>
                  <w:r w:rsidRPr="009349D7">
                    <w:t>% compliance</w:t>
                  </w:r>
                </w:p>
              </w:tc>
            </w:tr>
            <w:tr w:rsidR="00CD010F" w:rsidRPr="009349D7" w14:paraId="26EEAC2E" w14:textId="77777777" w:rsidTr="006A3FF5">
              <w:trPr>
                <w:trHeight w:val="300"/>
              </w:trPr>
              <w:tc>
                <w:tcPr>
                  <w:tcW w:w="7399" w:type="dxa"/>
                  <w:gridSpan w:val="2"/>
                </w:tcPr>
                <w:p w14:paraId="3E06D38D" w14:textId="6DED12DB" w:rsidR="00CD010F" w:rsidRPr="009349D7" w:rsidRDefault="00CD010F" w:rsidP="00CD010F">
                  <w:pPr>
                    <w:pStyle w:val="Tabletext"/>
                  </w:pPr>
                  <w:r w:rsidRPr="0069714C">
                    <w:rPr>
                      <w:rFonts w:cs="Arial"/>
                      <w:b/>
                    </w:rPr>
                    <w:t xml:space="preserve">Clinical details </w:t>
                  </w:r>
                </w:p>
              </w:tc>
            </w:tr>
            <w:tr w:rsidR="00CD010F" w:rsidRPr="009349D7" w14:paraId="17E1314A" w14:textId="77777777" w:rsidTr="00CD010F">
              <w:trPr>
                <w:trHeight w:val="300"/>
              </w:trPr>
              <w:tc>
                <w:tcPr>
                  <w:tcW w:w="3430" w:type="dxa"/>
                </w:tcPr>
                <w:p w14:paraId="6B906864" w14:textId="7B1AEA34" w:rsidR="00CD010F" w:rsidRPr="009349D7" w:rsidRDefault="00CD010F" w:rsidP="00CD010F">
                  <w:pPr>
                    <w:pStyle w:val="Tabletext"/>
                    <w:numPr>
                      <w:ilvl w:val="0"/>
                      <w:numId w:val="36"/>
                    </w:numPr>
                    <w:ind w:left="425" w:hanging="425"/>
                  </w:pPr>
                  <w:r w:rsidRPr="0069714C">
                    <w:rPr>
                      <w:rFonts w:cs="Arial"/>
                    </w:rPr>
                    <w:t xml:space="preserve">Indication for biopsy is stated clearly </w:t>
                  </w:r>
                </w:p>
              </w:tc>
              <w:tc>
                <w:tcPr>
                  <w:tcW w:w="3969" w:type="dxa"/>
                </w:tcPr>
                <w:p w14:paraId="75E972AC" w14:textId="77777777" w:rsidR="00CD010F" w:rsidRPr="009349D7" w:rsidRDefault="00CD010F" w:rsidP="00CD010F">
                  <w:pPr>
                    <w:pStyle w:val="Tabletext"/>
                  </w:pPr>
                </w:p>
              </w:tc>
            </w:tr>
            <w:tr w:rsidR="00CD010F" w:rsidRPr="009349D7" w14:paraId="25559A8D" w14:textId="77777777" w:rsidTr="00CD010F">
              <w:trPr>
                <w:trHeight w:val="717"/>
              </w:trPr>
              <w:tc>
                <w:tcPr>
                  <w:tcW w:w="3430" w:type="dxa"/>
                  <w:vMerge w:val="restart"/>
                </w:tcPr>
                <w:p w14:paraId="6FD1EE21" w14:textId="77777777" w:rsidR="00CD010F" w:rsidRPr="009349D7" w:rsidRDefault="00CD010F" w:rsidP="00CD010F">
                  <w:pPr>
                    <w:pStyle w:val="Tabletext"/>
                    <w:numPr>
                      <w:ilvl w:val="0"/>
                      <w:numId w:val="36"/>
                    </w:numPr>
                    <w:ind w:left="425" w:hanging="425"/>
                    <w:rPr>
                      <w:b/>
                      <w:bCs/>
                    </w:rPr>
                  </w:pPr>
                  <w:r>
                    <w:rPr>
                      <w:rFonts w:cs="Arial"/>
                    </w:rPr>
                    <w:t>Clinical description of the lesion is recorded:</w:t>
                  </w:r>
                </w:p>
                <w:p w14:paraId="63A969FD" w14:textId="73F3AAD4" w:rsidR="00CD010F" w:rsidRPr="009349D7" w:rsidRDefault="00CD010F" w:rsidP="00CD010F">
                  <w:pPr>
                    <w:pStyle w:val="Tabletext"/>
                    <w:ind w:left="360"/>
                  </w:pPr>
                  <w:r>
                    <w:rPr>
                      <w:rFonts w:cs="Arial"/>
                    </w:rPr>
                    <w:t xml:space="preserve">a) </w:t>
                  </w:r>
                  <w:r>
                    <w:rPr>
                      <w:rFonts w:cs="Arial"/>
                    </w:rPr>
                    <w:t>Site of the lesion</w:t>
                  </w:r>
                </w:p>
                <w:p w14:paraId="70868EFE" w14:textId="5F6314CE" w:rsidR="00CD010F" w:rsidRPr="009349D7" w:rsidRDefault="00CD010F" w:rsidP="00CD010F">
                  <w:pPr>
                    <w:pStyle w:val="Tabletext"/>
                    <w:ind w:left="360"/>
                    <w:rPr>
                      <w:b/>
                      <w:bCs/>
                    </w:rPr>
                  </w:pPr>
                  <w:r>
                    <w:rPr>
                      <w:rFonts w:cs="Arial"/>
                    </w:rPr>
                    <w:t xml:space="preserve">b) </w:t>
                  </w:r>
                  <w:r>
                    <w:rPr>
                      <w:rFonts w:cs="Arial"/>
                    </w:rPr>
                    <w:t>Appearances of the lesion</w:t>
                  </w:r>
                </w:p>
              </w:tc>
              <w:tc>
                <w:tcPr>
                  <w:tcW w:w="3969" w:type="dxa"/>
                </w:tcPr>
                <w:p w14:paraId="0C1BE610" w14:textId="77777777" w:rsidR="00CD010F" w:rsidRPr="009349D7" w:rsidRDefault="00CD010F" w:rsidP="00CD010F">
                  <w:pPr>
                    <w:pStyle w:val="Tabletext"/>
                  </w:pPr>
                </w:p>
              </w:tc>
            </w:tr>
            <w:tr w:rsidR="00CD010F" w:rsidRPr="009349D7" w14:paraId="24DC0D94" w14:textId="77777777" w:rsidTr="00CD010F">
              <w:trPr>
                <w:trHeight w:val="132"/>
              </w:trPr>
              <w:tc>
                <w:tcPr>
                  <w:tcW w:w="3430" w:type="dxa"/>
                  <w:vMerge/>
                </w:tcPr>
                <w:p w14:paraId="0CECF8BE" w14:textId="7C246175" w:rsidR="00CD010F" w:rsidRPr="009349D7" w:rsidRDefault="00CD010F" w:rsidP="00CD010F">
                  <w:pPr>
                    <w:pStyle w:val="Tabletext"/>
                  </w:pPr>
                </w:p>
              </w:tc>
              <w:tc>
                <w:tcPr>
                  <w:tcW w:w="3969" w:type="dxa"/>
                </w:tcPr>
                <w:p w14:paraId="6A0A368F" w14:textId="77777777" w:rsidR="00CD010F" w:rsidRPr="009349D7" w:rsidRDefault="00CD010F" w:rsidP="00CD010F">
                  <w:pPr>
                    <w:pStyle w:val="Tabletext"/>
                  </w:pPr>
                </w:p>
              </w:tc>
            </w:tr>
            <w:tr w:rsidR="00CD010F" w:rsidRPr="009349D7" w14:paraId="0EC6E438" w14:textId="77777777" w:rsidTr="00CD010F">
              <w:trPr>
                <w:trHeight w:val="300"/>
              </w:trPr>
              <w:tc>
                <w:tcPr>
                  <w:tcW w:w="3430" w:type="dxa"/>
                  <w:vMerge/>
                </w:tcPr>
                <w:p w14:paraId="03C728C7" w14:textId="244C0850" w:rsidR="00CD010F" w:rsidRPr="009349D7" w:rsidRDefault="00CD010F" w:rsidP="00CD010F">
                  <w:pPr>
                    <w:pStyle w:val="Tabletext"/>
                  </w:pPr>
                </w:p>
              </w:tc>
              <w:tc>
                <w:tcPr>
                  <w:tcW w:w="3969" w:type="dxa"/>
                </w:tcPr>
                <w:p w14:paraId="3EE5BE6B" w14:textId="77777777" w:rsidR="00CD010F" w:rsidRPr="009349D7" w:rsidRDefault="00CD010F" w:rsidP="00CD010F">
                  <w:pPr>
                    <w:pStyle w:val="Tabletext"/>
                  </w:pPr>
                </w:p>
              </w:tc>
            </w:tr>
            <w:tr w:rsidR="00CD010F" w:rsidRPr="009349D7" w14:paraId="15FD2B11" w14:textId="77777777" w:rsidTr="00CD010F">
              <w:trPr>
                <w:trHeight w:val="300"/>
                <w:hidden/>
              </w:trPr>
              <w:tc>
                <w:tcPr>
                  <w:tcW w:w="3430" w:type="dxa"/>
                </w:tcPr>
                <w:p w14:paraId="71718895" w14:textId="77777777" w:rsidR="00CD010F" w:rsidRPr="00CD010F" w:rsidRDefault="00CD010F" w:rsidP="00CD010F">
                  <w:pPr>
                    <w:pStyle w:val="ListParagraph"/>
                    <w:numPr>
                      <w:ilvl w:val="0"/>
                      <w:numId w:val="37"/>
                    </w:numPr>
                    <w:spacing w:line="264" w:lineRule="auto"/>
                    <w:ind w:left="425" w:hanging="425"/>
                    <w:rPr>
                      <w:rFonts w:cs="Arial"/>
                      <w:vanish/>
                    </w:rPr>
                  </w:pPr>
                </w:p>
                <w:p w14:paraId="0D806242" w14:textId="77777777" w:rsidR="00CD010F" w:rsidRPr="00CD010F" w:rsidRDefault="00CD010F" w:rsidP="00CD010F">
                  <w:pPr>
                    <w:pStyle w:val="ListParagraph"/>
                    <w:numPr>
                      <w:ilvl w:val="0"/>
                      <w:numId w:val="37"/>
                    </w:numPr>
                    <w:spacing w:line="264" w:lineRule="auto"/>
                    <w:ind w:left="425" w:hanging="425"/>
                    <w:rPr>
                      <w:rFonts w:cs="Arial"/>
                      <w:vanish/>
                    </w:rPr>
                  </w:pPr>
                </w:p>
                <w:p w14:paraId="56833971" w14:textId="2B91A554" w:rsidR="00CD010F" w:rsidRPr="00CD010F" w:rsidRDefault="00CD010F" w:rsidP="00CD010F">
                  <w:pPr>
                    <w:pStyle w:val="Tabletext"/>
                    <w:numPr>
                      <w:ilvl w:val="0"/>
                      <w:numId w:val="37"/>
                    </w:numPr>
                    <w:ind w:left="425" w:hanging="425"/>
                  </w:pPr>
                  <w:r w:rsidRPr="00CD010F">
                    <w:rPr>
                      <w:rFonts w:cs="Arial"/>
                    </w:rPr>
                    <w:t>Clinical diagnosis is recorded</w:t>
                  </w:r>
                </w:p>
              </w:tc>
              <w:tc>
                <w:tcPr>
                  <w:tcW w:w="3969" w:type="dxa"/>
                </w:tcPr>
                <w:p w14:paraId="1F18D056" w14:textId="77777777" w:rsidR="00CD010F" w:rsidRPr="009349D7" w:rsidRDefault="00CD010F" w:rsidP="00CD010F">
                  <w:pPr>
                    <w:pStyle w:val="Tabletext"/>
                  </w:pPr>
                </w:p>
              </w:tc>
            </w:tr>
            <w:tr w:rsidR="00CD010F" w:rsidRPr="009349D7" w14:paraId="5350E8F4" w14:textId="77777777" w:rsidTr="00CD010F">
              <w:trPr>
                <w:cantSplit/>
                <w:trHeight w:val="122"/>
              </w:trPr>
              <w:tc>
                <w:tcPr>
                  <w:tcW w:w="3430" w:type="dxa"/>
                </w:tcPr>
                <w:p w14:paraId="4945D4AA" w14:textId="4838DBA5" w:rsidR="00CD010F" w:rsidRPr="00CD010F" w:rsidRDefault="00CD010F" w:rsidP="00CD010F">
                  <w:pPr>
                    <w:pStyle w:val="Tabletext"/>
                    <w:numPr>
                      <w:ilvl w:val="0"/>
                      <w:numId w:val="37"/>
                    </w:numPr>
                    <w:ind w:left="425" w:hanging="425"/>
                  </w:pPr>
                  <w:r w:rsidRPr="00CD010F">
                    <w:rPr>
                      <w:rFonts w:cs="Arial"/>
                    </w:rPr>
                    <w:t xml:space="preserve">Sampling is adequate </w:t>
                  </w:r>
                </w:p>
              </w:tc>
              <w:tc>
                <w:tcPr>
                  <w:tcW w:w="3969" w:type="dxa"/>
                </w:tcPr>
                <w:p w14:paraId="7669C8FF" w14:textId="77777777" w:rsidR="00CD010F" w:rsidRPr="009349D7" w:rsidRDefault="00CD010F" w:rsidP="00CD010F">
                  <w:pPr>
                    <w:pStyle w:val="Tabletext"/>
                  </w:pPr>
                </w:p>
              </w:tc>
            </w:tr>
            <w:tr w:rsidR="00CD010F" w:rsidRPr="009349D7" w14:paraId="7DD9ACF3" w14:textId="77777777" w:rsidTr="00CD010F">
              <w:trPr>
                <w:cantSplit/>
                <w:trHeight w:val="121"/>
              </w:trPr>
              <w:tc>
                <w:tcPr>
                  <w:tcW w:w="3430" w:type="dxa"/>
                </w:tcPr>
                <w:p w14:paraId="2059BE7A" w14:textId="484F11B2" w:rsidR="00CD010F" w:rsidRPr="00CD010F" w:rsidRDefault="00CD010F" w:rsidP="00CD010F">
                  <w:pPr>
                    <w:pStyle w:val="Tabletext"/>
                    <w:numPr>
                      <w:ilvl w:val="0"/>
                      <w:numId w:val="37"/>
                    </w:numPr>
                    <w:ind w:left="425" w:hanging="425"/>
                  </w:pPr>
                  <w:r w:rsidRPr="00CD010F">
                    <w:rPr>
                      <w:rFonts w:cs="Arial"/>
                    </w:rPr>
                    <w:t>Anatomical site of origin is clearly identifiable for all biopsies</w:t>
                  </w:r>
                </w:p>
              </w:tc>
              <w:tc>
                <w:tcPr>
                  <w:tcW w:w="3969" w:type="dxa"/>
                </w:tcPr>
                <w:p w14:paraId="1168D5AB" w14:textId="77777777" w:rsidR="00CD010F" w:rsidRPr="009349D7" w:rsidRDefault="00CD010F" w:rsidP="00CD010F">
                  <w:pPr>
                    <w:pStyle w:val="Tabletext"/>
                  </w:pPr>
                </w:p>
              </w:tc>
            </w:tr>
            <w:tr w:rsidR="00CD010F" w:rsidRPr="009349D7" w14:paraId="163855E9" w14:textId="77777777" w:rsidTr="009B0AF0">
              <w:trPr>
                <w:trHeight w:val="300"/>
              </w:trPr>
              <w:tc>
                <w:tcPr>
                  <w:tcW w:w="7399" w:type="dxa"/>
                  <w:gridSpan w:val="2"/>
                  <w:vAlign w:val="center"/>
                </w:tcPr>
                <w:p w14:paraId="2B311D28" w14:textId="1F73FB12" w:rsidR="00CD010F" w:rsidRPr="009349D7" w:rsidRDefault="00CD010F" w:rsidP="00CD010F">
                  <w:pPr>
                    <w:pStyle w:val="Tabletext"/>
                  </w:pPr>
                  <w:r w:rsidRPr="001261AE">
                    <w:rPr>
                      <w:rFonts w:cs="Arial"/>
                      <w:b/>
                    </w:rPr>
                    <w:t>Macroscopic description</w:t>
                  </w:r>
                  <w:r>
                    <w:rPr>
                      <w:rFonts w:cs="Arial"/>
                      <w:b/>
                    </w:rPr>
                    <w:t>/slide preparation</w:t>
                  </w:r>
                </w:p>
              </w:tc>
            </w:tr>
            <w:tr w:rsidR="00CD010F" w:rsidRPr="009349D7" w14:paraId="49F3BA4D" w14:textId="77777777" w:rsidTr="00CD010F">
              <w:trPr>
                <w:trHeight w:val="300"/>
              </w:trPr>
              <w:tc>
                <w:tcPr>
                  <w:tcW w:w="3430" w:type="dxa"/>
                </w:tcPr>
                <w:p w14:paraId="5D06717E" w14:textId="263EF3F1" w:rsidR="00CD010F" w:rsidRPr="00CD010F" w:rsidRDefault="00CD010F" w:rsidP="00CD010F">
                  <w:pPr>
                    <w:pStyle w:val="Tabletext"/>
                    <w:numPr>
                      <w:ilvl w:val="0"/>
                      <w:numId w:val="37"/>
                    </w:numPr>
                    <w:ind w:left="425" w:hanging="425"/>
                    <w:rPr>
                      <w:rFonts w:cs="Arial"/>
                    </w:rPr>
                  </w:pPr>
                  <w:r w:rsidRPr="00CD010F">
                    <w:rPr>
                      <w:rFonts w:cs="Arial"/>
                    </w:rPr>
                    <w:t xml:space="preserve">Number of tissue pieces is recorded </w:t>
                  </w:r>
                </w:p>
              </w:tc>
              <w:tc>
                <w:tcPr>
                  <w:tcW w:w="3969" w:type="dxa"/>
                </w:tcPr>
                <w:p w14:paraId="4633BD58" w14:textId="77777777" w:rsidR="00CD010F" w:rsidRPr="009349D7" w:rsidRDefault="00CD010F" w:rsidP="00CD010F">
                  <w:pPr>
                    <w:pStyle w:val="Tabletext"/>
                  </w:pPr>
                </w:p>
              </w:tc>
            </w:tr>
            <w:tr w:rsidR="00CD010F" w:rsidRPr="009349D7" w14:paraId="4E6DA464" w14:textId="77777777" w:rsidTr="00CD010F">
              <w:trPr>
                <w:trHeight w:val="300"/>
              </w:trPr>
              <w:tc>
                <w:tcPr>
                  <w:tcW w:w="3430" w:type="dxa"/>
                </w:tcPr>
                <w:p w14:paraId="2AECA549" w14:textId="5F486B5D" w:rsidR="00CD010F" w:rsidRPr="00CD010F" w:rsidRDefault="00CD010F" w:rsidP="00CD010F">
                  <w:pPr>
                    <w:pStyle w:val="Tabletext"/>
                    <w:numPr>
                      <w:ilvl w:val="0"/>
                      <w:numId w:val="37"/>
                    </w:numPr>
                    <w:ind w:left="425" w:hanging="425"/>
                    <w:rPr>
                      <w:rFonts w:cs="Arial"/>
                    </w:rPr>
                  </w:pPr>
                  <w:r w:rsidRPr="00CD010F">
                    <w:rPr>
                      <w:rFonts w:cs="Arial"/>
                    </w:rPr>
                    <w:t>Size of the largest piece is recorded</w:t>
                  </w:r>
                </w:p>
              </w:tc>
              <w:tc>
                <w:tcPr>
                  <w:tcW w:w="3969" w:type="dxa"/>
                </w:tcPr>
                <w:p w14:paraId="7FBB45B1" w14:textId="77777777" w:rsidR="00CD010F" w:rsidRPr="009349D7" w:rsidRDefault="00CD010F" w:rsidP="00CD010F">
                  <w:pPr>
                    <w:pStyle w:val="Tabletext"/>
                  </w:pPr>
                </w:p>
              </w:tc>
            </w:tr>
            <w:tr w:rsidR="00CD010F" w:rsidRPr="009349D7" w14:paraId="33BFCE13" w14:textId="77777777" w:rsidTr="00CD010F">
              <w:trPr>
                <w:trHeight w:val="300"/>
              </w:trPr>
              <w:tc>
                <w:tcPr>
                  <w:tcW w:w="3430" w:type="dxa"/>
                </w:tcPr>
                <w:p w14:paraId="5A1A9E94" w14:textId="4951D00C" w:rsidR="00CD010F" w:rsidRPr="00CD010F" w:rsidRDefault="00CD010F" w:rsidP="00CD010F">
                  <w:pPr>
                    <w:pStyle w:val="Tabletext"/>
                    <w:numPr>
                      <w:ilvl w:val="0"/>
                      <w:numId w:val="37"/>
                    </w:numPr>
                    <w:ind w:left="425" w:hanging="425"/>
                    <w:rPr>
                      <w:rFonts w:cs="Arial"/>
                    </w:rPr>
                  </w:pPr>
                  <w:r w:rsidRPr="00CD010F">
                    <w:rPr>
                      <w:rFonts w:cs="Arial"/>
                    </w:rPr>
                    <w:t xml:space="preserve">At least </w:t>
                  </w:r>
                  <w:r w:rsidRPr="00CD010F">
                    <w:rPr>
                      <w:rFonts w:cs="Arial"/>
                    </w:rPr>
                    <w:t>1</w:t>
                  </w:r>
                  <w:r w:rsidRPr="00CD010F">
                    <w:rPr>
                      <w:rFonts w:cs="Arial"/>
                    </w:rPr>
                    <w:t xml:space="preserve"> H&amp;E-stained slide is available for each tissue block</w:t>
                  </w:r>
                </w:p>
              </w:tc>
              <w:tc>
                <w:tcPr>
                  <w:tcW w:w="3969" w:type="dxa"/>
                </w:tcPr>
                <w:p w14:paraId="7117A91E" w14:textId="77777777" w:rsidR="00CD010F" w:rsidRPr="009349D7" w:rsidRDefault="00CD010F" w:rsidP="00CD010F">
                  <w:pPr>
                    <w:pStyle w:val="Tabletext"/>
                  </w:pPr>
                </w:p>
              </w:tc>
            </w:tr>
            <w:tr w:rsidR="00CD010F" w:rsidRPr="009349D7" w14:paraId="13DF5708" w14:textId="77777777" w:rsidTr="00B57180">
              <w:trPr>
                <w:trHeight w:val="300"/>
              </w:trPr>
              <w:tc>
                <w:tcPr>
                  <w:tcW w:w="7399" w:type="dxa"/>
                  <w:gridSpan w:val="2"/>
                </w:tcPr>
                <w:p w14:paraId="4E28F22C" w14:textId="69AC839F" w:rsidR="00CD010F" w:rsidRPr="009349D7" w:rsidRDefault="00CD010F" w:rsidP="00CD010F">
                  <w:pPr>
                    <w:pStyle w:val="Tabletext"/>
                  </w:pPr>
                  <w:r w:rsidRPr="0069714C">
                    <w:rPr>
                      <w:rFonts w:cs="Arial"/>
                      <w:b/>
                    </w:rPr>
                    <w:t>Microscopic report</w:t>
                  </w:r>
                </w:p>
              </w:tc>
            </w:tr>
            <w:tr w:rsidR="00CD010F" w:rsidRPr="009349D7" w14:paraId="0D855BF9" w14:textId="77777777" w:rsidTr="00CD010F">
              <w:trPr>
                <w:trHeight w:val="300"/>
              </w:trPr>
              <w:tc>
                <w:tcPr>
                  <w:tcW w:w="3430" w:type="dxa"/>
                </w:tcPr>
                <w:p w14:paraId="1BB29B3A" w14:textId="5026146E" w:rsidR="00CD010F" w:rsidRPr="00CD010F" w:rsidRDefault="00CD010F" w:rsidP="00CD010F">
                  <w:pPr>
                    <w:pStyle w:val="Tabletext"/>
                    <w:numPr>
                      <w:ilvl w:val="0"/>
                      <w:numId w:val="37"/>
                    </w:numPr>
                    <w:ind w:left="425" w:hanging="425"/>
                    <w:rPr>
                      <w:rFonts w:cs="Arial"/>
                    </w:rPr>
                  </w:pPr>
                  <w:r w:rsidRPr="00CD010F">
                    <w:rPr>
                      <w:rFonts w:cs="Arial"/>
                    </w:rPr>
                    <w:t>Biopsies from separate sites are described separately or biopsies from different sites which have the same features are described together</w:t>
                  </w:r>
                </w:p>
              </w:tc>
              <w:tc>
                <w:tcPr>
                  <w:tcW w:w="3969" w:type="dxa"/>
                </w:tcPr>
                <w:p w14:paraId="5FCE6F01" w14:textId="77777777" w:rsidR="00CD010F" w:rsidRPr="009349D7" w:rsidRDefault="00CD010F" w:rsidP="00CD010F">
                  <w:pPr>
                    <w:pStyle w:val="Tabletext"/>
                  </w:pPr>
                </w:p>
              </w:tc>
            </w:tr>
            <w:tr w:rsidR="00CD010F" w:rsidRPr="009349D7" w14:paraId="48A0FE79" w14:textId="77777777" w:rsidTr="00CD010F">
              <w:trPr>
                <w:trHeight w:val="300"/>
              </w:trPr>
              <w:tc>
                <w:tcPr>
                  <w:tcW w:w="3430" w:type="dxa"/>
                </w:tcPr>
                <w:p w14:paraId="22F8C033" w14:textId="634F48B0" w:rsidR="00CD010F" w:rsidRPr="00CD010F" w:rsidRDefault="00CD010F" w:rsidP="00CD010F">
                  <w:pPr>
                    <w:pStyle w:val="Tabletext"/>
                    <w:numPr>
                      <w:ilvl w:val="0"/>
                      <w:numId w:val="37"/>
                    </w:numPr>
                    <w:ind w:left="425" w:hanging="425"/>
                    <w:rPr>
                      <w:rFonts w:cs="Arial"/>
                    </w:rPr>
                  </w:pPr>
                  <w:r w:rsidRPr="00CD010F">
                    <w:rPr>
                      <w:rFonts w:cs="Arial"/>
                    </w:rPr>
                    <w:t>Description of changes in mucosal morphology is clear enough to be ascertained by the auditor</w:t>
                  </w:r>
                </w:p>
              </w:tc>
              <w:tc>
                <w:tcPr>
                  <w:tcW w:w="3969" w:type="dxa"/>
                </w:tcPr>
                <w:p w14:paraId="56B714AC" w14:textId="77777777" w:rsidR="00CD010F" w:rsidRPr="009349D7" w:rsidRDefault="00CD010F" w:rsidP="00CD010F">
                  <w:pPr>
                    <w:pStyle w:val="Tabletext"/>
                  </w:pPr>
                </w:p>
              </w:tc>
            </w:tr>
            <w:tr w:rsidR="00CD010F" w:rsidRPr="009349D7" w14:paraId="07018397" w14:textId="77777777" w:rsidTr="009A4318">
              <w:trPr>
                <w:trHeight w:val="300"/>
              </w:trPr>
              <w:tc>
                <w:tcPr>
                  <w:tcW w:w="7399" w:type="dxa"/>
                  <w:gridSpan w:val="2"/>
                </w:tcPr>
                <w:p w14:paraId="41C39395" w14:textId="4025F4DD" w:rsidR="00CD010F" w:rsidRPr="009349D7" w:rsidRDefault="00CD010F" w:rsidP="00CD010F">
                  <w:pPr>
                    <w:pStyle w:val="Tabletext"/>
                  </w:pPr>
                  <w:r w:rsidRPr="001261AE">
                    <w:rPr>
                      <w:rFonts w:cs="Arial"/>
                      <w:b/>
                    </w:rPr>
                    <w:t>Summary and conclusions</w:t>
                  </w:r>
                </w:p>
              </w:tc>
            </w:tr>
            <w:tr w:rsidR="00CD010F" w:rsidRPr="009349D7" w14:paraId="69C2734B" w14:textId="77777777" w:rsidTr="00CD010F">
              <w:trPr>
                <w:trHeight w:val="300"/>
              </w:trPr>
              <w:tc>
                <w:tcPr>
                  <w:tcW w:w="3430" w:type="dxa"/>
                </w:tcPr>
                <w:p w14:paraId="1F1C5C4E" w14:textId="63CE0379" w:rsidR="00CD010F" w:rsidRPr="00CD010F" w:rsidRDefault="00CD010F" w:rsidP="00CD010F">
                  <w:pPr>
                    <w:pStyle w:val="Tabletext"/>
                    <w:numPr>
                      <w:ilvl w:val="0"/>
                      <w:numId w:val="37"/>
                    </w:numPr>
                    <w:ind w:left="425" w:hanging="425"/>
                    <w:rPr>
                      <w:rFonts w:cs="Arial"/>
                    </w:rPr>
                  </w:pPr>
                  <w:r w:rsidRPr="00CD010F">
                    <w:rPr>
                      <w:rFonts w:cs="Arial"/>
                    </w:rPr>
                    <w:t>Summary of microscopic changes is given</w:t>
                  </w:r>
                </w:p>
              </w:tc>
              <w:tc>
                <w:tcPr>
                  <w:tcW w:w="3969" w:type="dxa"/>
                </w:tcPr>
                <w:p w14:paraId="17D53798" w14:textId="77777777" w:rsidR="00CD010F" w:rsidRPr="009349D7" w:rsidRDefault="00CD010F" w:rsidP="00CD010F">
                  <w:pPr>
                    <w:pStyle w:val="Tabletext"/>
                  </w:pPr>
                </w:p>
              </w:tc>
            </w:tr>
            <w:tr w:rsidR="00CD010F" w:rsidRPr="009349D7" w14:paraId="71EA3FD6" w14:textId="77777777" w:rsidTr="00CD010F">
              <w:trPr>
                <w:trHeight w:val="300"/>
              </w:trPr>
              <w:tc>
                <w:tcPr>
                  <w:tcW w:w="3430" w:type="dxa"/>
                </w:tcPr>
                <w:p w14:paraId="390545CA" w14:textId="429FED61" w:rsidR="00CD010F" w:rsidRPr="00CD010F" w:rsidRDefault="00CD010F" w:rsidP="00CD010F">
                  <w:pPr>
                    <w:pStyle w:val="Tabletext"/>
                    <w:numPr>
                      <w:ilvl w:val="0"/>
                      <w:numId w:val="37"/>
                    </w:numPr>
                    <w:ind w:left="425" w:hanging="425"/>
                    <w:rPr>
                      <w:rFonts w:cs="Arial"/>
                    </w:rPr>
                  </w:pPr>
                  <w:r w:rsidRPr="00CD010F">
                    <w:rPr>
                      <w:rFonts w:cs="Arial"/>
                    </w:rPr>
                    <w:t>Preference for a diagnosis, or the inability to distinguish between diagnoses, is recorded</w:t>
                  </w:r>
                </w:p>
              </w:tc>
              <w:tc>
                <w:tcPr>
                  <w:tcW w:w="3969" w:type="dxa"/>
                </w:tcPr>
                <w:p w14:paraId="02402579" w14:textId="77777777" w:rsidR="00CD010F" w:rsidRPr="009349D7" w:rsidRDefault="00CD010F" w:rsidP="00CD010F">
                  <w:pPr>
                    <w:pStyle w:val="Tabletext"/>
                  </w:pPr>
                </w:p>
              </w:tc>
            </w:tr>
            <w:tr w:rsidR="00CD010F" w:rsidRPr="009349D7" w14:paraId="606E0099" w14:textId="77777777" w:rsidTr="00CD010F">
              <w:trPr>
                <w:trHeight w:val="300"/>
              </w:trPr>
              <w:tc>
                <w:tcPr>
                  <w:tcW w:w="3430" w:type="dxa"/>
                </w:tcPr>
                <w:p w14:paraId="02142C75" w14:textId="7719DBA6" w:rsidR="00CD010F" w:rsidRPr="00CD010F" w:rsidRDefault="00CD010F" w:rsidP="00CD010F">
                  <w:pPr>
                    <w:pStyle w:val="Tabletext"/>
                    <w:numPr>
                      <w:ilvl w:val="0"/>
                      <w:numId w:val="37"/>
                    </w:numPr>
                    <w:ind w:left="425" w:hanging="425"/>
                    <w:rPr>
                      <w:rFonts w:cs="Arial"/>
                    </w:rPr>
                  </w:pPr>
                  <w:r w:rsidRPr="00CD010F">
                    <w:rPr>
                      <w:rFonts w:cs="Arial"/>
                    </w:rPr>
                    <w:t>The report is authorised within the agreed period from the date on which the biopsy was taken</w:t>
                  </w:r>
                </w:p>
              </w:tc>
              <w:tc>
                <w:tcPr>
                  <w:tcW w:w="3969" w:type="dxa"/>
                </w:tcPr>
                <w:p w14:paraId="4A094377" w14:textId="77777777" w:rsidR="00CD010F" w:rsidRPr="009349D7" w:rsidRDefault="00CD010F" w:rsidP="00CD010F">
                  <w:pPr>
                    <w:pStyle w:val="Tabletext"/>
                  </w:pPr>
                </w:p>
              </w:tc>
            </w:tr>
          </w:tbl>
          <w:p w14:paraId="3689BFB0" w14:textId="77777777" w:rsidR="00CD010F" w:rsidRPr="009349D7" w:rsidRDefault="00CD010F" w:rsidP="00CD010F">
            <w:pPr>
              <w:rPr>
                <w:rFonts w:cs="Arial"/>
                <w:b/>
                <w:szCs w:val="24"/>
              </w:rPr>
            </w:pPr>
          </w:p>
          <w:p w14:paraId="33C1ABC1" w14:textId="1821AEB8" w:rsidR="00CD010F" w:rsidRPr="0029610F" w:rsidRDefault="00CD010F" w:rsidP="00CD010F">
            <w:pPr>
              <w:rPr>
                <w:b/>
                <w:bCs/>
              </w:rPr>
            </w:pPr>
            <w:r w:rsidRPr="0029610F">
              <w:rPr>
                <w:b/>
                <w:bCs/>
              </w:rPr>
              <w:t>Commentary:</w:t>
            </w:r>
          </w:p>
          <w:p w14:paraId="4C21FCF8" w14:textId="5FE6C934" w:rsidR="00CD010F" w:rsidRPr="009349D7" w:rsidRDefault="00CD010F" w:rsidP="00CD010F">
            <w:pPr>
              <w:rPr>
                <w:rFonts w:cs="Arial"/>
                <w:b/>
                <w:szCs w:val="24"/>
              </w:rPr>
            </w:pPr>
          </w:p>
        </w:tc>
      </w:tr>
      <w:tr w:rsidR="00CD010F" w:rsidRPr="00077B16" w14:paraId="0B06E3F0" w14:textId="77777777" w:rsidTr="00CD010F">
        <w:trPr>
          <w:trHeight w:val="469"/>
        </w:trPr>
        <w:tc>
          <w:tcPr>
            <w:tcW w:w="1737" w:type="dxa"/>
          </w:tcPr>
          <w:p w14:paraId="4CAABCEC" w14:textId="77777777" w:rsidR="00CD010F" w:rsidRPr="009349D7" w:rsidRDefault="00CD010F" w:rsidP="00CD010F">
            <w:pPr>
              <w:pStyle w:val="Rowheading"/>
            </w:pPr>
            <w:r w:rsidRPr="009349D7">
              <w:lastRenderedPageBreak/>
              <w:t>Conclusion</w:t>
            </w:r>
          </w:p>
        </w:tc>
        <w:tc>
          <w:tcPr>
            <w:tcW w:w="7891" w:type="dxa"/>
          </w:tcPr>
          <w:p w14:paraId="54F6617D" w14:textId="2A569065" w:rsidR="00CD010F" w:rsidRPr="009349D7" w:rsidRDefault="00CD010F" w:rsidP="00CD010F">
            <w:pPr>
              <w:pStyle w:val="Bodytextredfont"/>
            </w:pPr>
            <w:r w:rsidRPr="009349D7">
              <w:t>(To be completed by the author)</w:t>
            </w:r>
          </w:p>
        </w:tc>
      </w:tr>
      <w:tr w:rsidR="00CD010F" w:rsidRPr="00077B16" w14:paraId="5BF6DC79" w14:textId="77777777" w:rsidTr="00CD010F">
        <w:trPr>
          <w:trHeight w:val="58"/>
        </w:trPr>
        <w:tc>
          <w:tcPr>
            <w:tcW w:w="1737" w:type="dxa"/>
          </w:tcPr>
          <w:p w14:paraId="22631467" w14:textId="77777777" w:rsidR="00CD010F" w:rsidRPr="009349D7" w:rsidRDefault="00CD010F" w:rsidP="00CD010F">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CD010F" w:rsidRPr="009349D7" w:rsidRDefault="00CD010F" w:rsidP="00CD010F">
            <w:pPr>
              <w:pStyle w:val="Rowheading"/>
            </w:pPr>
          </w:p>
          <w:p w14:paraId="7AD9482C" w14:textId="77777777" w:rsidR="00CD010F" w:rsidRPr="009349D7" w:rsidRDefault="00CD010F" w:rsidP="00CD010F">
            <w:pPr>
              <w:pStyle w:val="Rowheading"/>
            </w:pPr>
          </w:p>
          <w:p w14:paraId="6ED49695" w14:textId="77777777" w:rsidR="00CD010F" w:rsidRPr="009349D7" w:rsidRDefault="00CD010F" w:rsidP="00CD010F">
            <w:pPr>
              <w:pStyle w:val="Rowheading"/>
            </w:pPr>
          </w:p>
        </w:tc>
        <w:tc>
          <w:tcPr>
            <w:tcW w:w="7891" w:type="dxa"/>
          </w:tcPr>
          <w:p w14:paraId="6CA1B6E8" w14:textId="75044DDB" w:rsidR="00CD010F" w:rsidRPr="009349D7" w:rsidRDefault="00CD010F" w:rsidP="00CD010F">
            <w:r w:rsidRPr="009349D7">
              <w:t>Present the result with recommendations, actions and responsibilities for action and a timescale for implementation. Assign a person(s) responsible to do the work within a timeframe.</w:t>
            </w:r>
          </w:p>
          <w:p w14:paraId="12F2C7F6" w14:textId="77777777" w:rsidR="00CD010F" w:rsidRPr="0029610F" w:rsidRDefault="00CD010F" w:rsidP="00CD010F">
            <w:pPr>
              <w:rPr>
                <w:b/>
                <w:bCs/>
              </w:rPr>
            </w:pPr>
            <w:r w:rsidRPr="0029610F">
              <w:rPr>
                <w:b/>
                <w:bCs/>
              </w:rPr>
              <w:t>Some suggestions:</w:t>
            </w:r>
          </w:p>
          <w:p w14:paraId="2CDA5EF2" w14:textId="77777777" w:rsidR="00CD010F" w:rsidRDefault="00CD010F" w:rsidP="00CD010F">
            <w:pPr>
              <w:pStyle w:val="ListParagraph"/>
              <w:tabs>
                <w:tab w:val="clear" w:pos="360"/>
              </w:tabs>
            </w:pPr>
            <w:r>
              <w:t>highlight non-compliance with recommendations</w:t>
            </w:r>
          </w:p>
          <w:p w14:paraId="1C0DE42A" w14:textId="110BB677" w:rsidR="00CD010F" w:rsidRPr="009349D7" w:rsidRDefault="00CD010F" w:rsidP="00CD010F">
            <w:pPr>
              <w:pStyle w:val="ListParagraph"/>
              <w:tabs>
                <w:tab w:val="clear" w:pos="360"/>
              </w:tabs>
            </w:pPr>
            <w:r>
              <w:t>present findings to colleagues in histopathology and/or clinical services</w:t>
            </w:r>
            <w:r>
              <w:t>.</w:t>
            </w:r>
          </w:p>
        </w:tc>
      </w:tr>
      <w:tr w:rsidR="00CD010F" w:rsidRPr="00077B16" w14:paraId="3AB83BB0" w14:textId="77777777" w:rsidTr="00CD010F">
        <w:trPr>
          <w:trHeight w:val="58"/>
        </w:trPr>
        <w:tc>
          <w:tcPr>
            <w:tcW w:w="1737" w:type="dxa"/>
          </w:tcPr>
          <w:p w14:paraId="7B1DBC85" w14:textId="1FF56588" w:rsidR="00CD010F" w:rsidRPr="009349D7" w:rsidRDefault="00CD010F" w:rsidP="00CD010F">
            <w:pPr>
              <w:pStyle w:val="Rowheading"/>
            </w:pPr>
            <w:r w:rsidRPr="009349D7">
              <w:t>Action plan</w:t>
            </w:r>
          </w:p>
        </w:tc>
        <w:tc>
          <w:tcPr>
            <w:tcW w:w="7891" w:type="dxa"/>
          </w:tcPr>
          <w:p w14:paraId="3ED634E6" w14:textId="3A02274B" w:rsidR="00CD010F" w:rsidRPr="009349D7" w:rsidRDefault="00CD010F" w:rsidP="00CD010F">
            <w:pPr>
              <w:pStyle w:val="Bodytextredfont"/>
            </w:pPr>
            <w:r w:rsidRPr="009349D7">
              <w:t>(To be completed by the author – see attached action plan proforma)</w:t>
            </w:r>
          </w:p>
        </w:tc>
      </w:tr>
      <w:tr w:rsidR="00CD010F" w:rsidRPr="00077B16" w14:paraId="2456F3A2" w14:textId="77777777" w:rsidTr="00CD010F">
        <w:trPr>
          <w:trHeight w:val="58"/>
        </w:trPr>
        <w:tc>
          <w:tcPr>
            <w:tcW w:w="1737" w:type="dxa"/>
          </w:tcPr>
          <w:p w14:paraId="2874F728" w14:textId="77777777" w:rsidR="00CD010F" w:rsidRPr="009349D7" w:rsidRDefault="00CD010F" w:rsidP="00CD010F">
            <w:pPr>
              <w:pStyle w:val="Rowheading"/>
            </w:pPr>
            <w:r w:rsidRPr="009349D7">
              <w:t>Re-audit date</w:t>
            </w:r>
          </w:p>
        </w:tc>
        <w:tc>
          <w:tcPr>
            <w:tcW w:w="7891" w:type="dxa"/>
          </w:tcPr>
          <w:p w14:paraId="2A3A9445" w14:textId="77777777" w:rsidR="00CD010F" w:rsidRPr="009349D7" w:rsidRDefault="00CD010F" w:rsidP="00CD010F">
            <w:pPr>
              <w:pStyle w:val="Bodytextredfont"/>
            </w:pPr>
            <w:r w:rsidRPr="009349D7">
              <w:t>(To be completed by the author)</w:t>
            </w:r>
          </w:p>
        </w:tc>
      </w:tr>
      <w:tr w:rsidR="00CD010F" w:rsidRPr="00077B16" w14:paraId="7E5BF0AE" w14:textId="77777777" w:rsidTr="00CD010F">
        <w:trPr>
          <w:trHeight w:val="469"/>
        </w:trPr>
        <w:tc>
          <w:tcPr>
            <w:tcW w:w="1737" w:type="dxa"/>
          </w:tcPr>
          <w:p w14:paraId="6DDCB30D" w14:textId="4FB705CA" w:rsidR="00CD010F" w:rsidRPr="009349D7" w:rsidRDefault="00CD010F" w:rsidP="00CD010F">
            <w:pPr>
              <w:pStyle w:val="Rowheading"/>
            </w:pPr>
            <w:r w:rsidRPr="009349D7">
              <w:t>References</w:t>
            </w:r>
          </w:p>
          <w:p w14:paraId="36CD5C27" w14:textId="16D11343" w:rsidR="00CD010F" w:rsidRPr="009349D7" w:rsidRDefault="00CD010F" w:rsidP="00CD010F">
            <w:pPr>
              <w:pStyle w:val="Rowheading"/>
            </w:pPr>
          </w:p>
        </w:tc>
        <w:tc>
          <w:tcPr>
            <w:tcW w:w="7891" w:type="dxa"/>
          </w:tcPr>
          <w:p w14:paraId="7763C1D9" w14:textId="51040340" w:rsidR="00CD010F" w:rsidRPr="00BB799F" w:rsidRDefault="00CD010F" w:rsidP="00CD010F">
            <w:pPr>
              <w:pStyle w:val="Numberedlist"/>
            </w:pPr>
            <w:r>
              <w:rPr>
                <w:noProof/>
              </w:rPr>
              <w:t xml:space="preserve">Royal College of Pathologists. </w:t>
            </w:r>
            <w:r w:rsidRPr="002A0E0B">
              <w:rPr>
                <w:i/>
                <w:noProof/>
              </w:rPr>
              <w:t>Tissue pathways for oral and head and neck pathology</w:t>
            </w:r>
            <w:r>
              <w:rPr>
                <w:i/>
                <w:noProof/>
              </w:rPr>
              <w:t xml:space="preserve">. </w:t>
            </w:r>
            <w:r>
              <w:rPr>
                <w:iCs/>
                <w:noProof/>
              </w:rPr>
              <w:t xml:space="preserve">Accessed November 2023. Available at: </w:t>
            </w:r>
            <w:hyperlink r:id="rId11" w:history="1">
              <w:r w:rsidRPr="00DA6195">
                <w:rPr>
                  <w:rStyle w:val="Hyperlink"/>
                  <w:bCs/>
                  <w:iCs/>
                  <w:noProof/>
                </w:rPr>
                <w:t>https://www.rcpath.org/profession/guidelines/cancer-datasets-and-tissue-pathways.html#</w:t>
              </w:r>
            </w:hyperlink>
            <w:r>
              <w:rPr>
                <w:iCs/>
                <w:noProof/>
              </w:rPr>
              <w:t xml:space="preserve"> </w:t>
            </w:r>
          </w:p>
          <w:p w14:paraId="7F5516E3" w14:textId="21FD87B7" w:rsidR="00CD010F" w:rsidRPr="00876760" w:rsidRDefault="00CD010F" w:rsidP="00CD010F">
            <w:pPr>
              <w:pStyle w:val="Numberedlist"/>
            </w:pPr>
            <w:r>
              <w:rPr>
                <w:rStyle w:val="normaltextrun"/>
                <w:color w:val="000000"/>
                <w:shd w:val="clear" w:color="auto" w:fill="FFFFFF"/>
              </w:rPr>
              <w:t>Royal College of Pathologists</w:t>
            </w:r>
            <w:r>
              <w:rPr>
                <w:rStyle w:val="normaltextrun"/>
                <w:i/>
                <w:iCs/>
                <w:color w:val="000000"/>
                <w:shd w:val="clear" w:color="auto" w:fill="FFFFFF"/>
              </w:rPr>
              <w:t xml:space="preserve">. Key Assurance Indicators for Pathology Services. </w:t>
            </w:r>
            <w:r w:rsidRPr="003A1E3C">
              <w:rPr>
                <w:rStyle w:val="normaltextrun"/>
                <w:color w:val="000000"/>
                <w:shd w:val="clear" w:color="auto" w:fill="FFFFFF"/>
              </w:rPr>
              <w:t>Accessed November 2023</w:t>
            </w:r>
            <w:r>
              <w:rPr>
                <w:rStyle w:val="normaltextrun"/>
                <w:color w:val="000000"/>
                <w:shd w:val="clear" w:color="auto" w:fill="FFFFFF"/>
              </w:rPr>
              <w:t xml:space="preserve">. </w:t>
            </w:r>
            <w:r w:rsidRPr="0087090E">
              <w:rPr>
                <w:rStyle w:val="normaltextrun"/>
                <w:color w:val="000000"/>
                <w:shd w:val="clear" w:color="auto" w:fill="FFFFFF"/>
              </w:rPr>
              <w:t xml:space="preserve">Available at : </w:t>
            </w:r>
            <w:hyperlink r:id="rId12" w:history="1">
              <w:r w:rsidRPr="00DA6195">
                <w:rPr>
                  <w:rStyle w:val="Hyperlink"/>
                  <w:shd w:val="clear" w:color="auto" w:fill="FFFFFF"/>
                </w:rPr>
                <w:t>https://www.rcpath.org/uploads/assets/24572f2b-b65f-4a4b-b9e4d0f526dbac55/G181-Key-assurance-indicators-for-pathology-services.pdf</w:t>
              </w:r>
            </w:hyperlink>
          </w:p>
        </w:tc>
      </w:tr>
    </w:tbl>
    <w:p w14:paraId="282D4AE8" w14:textId="77777777" w:rsidR="00860AF9" w:rsidRPr="00077B16" w:rsidRDefault="00860AF9">
      <w:pPr>
        <w:rPr>
          <w:rFonts w:cs="Arial"/>
          <w:bCs/>
        </w:rPr>
      </w:pPr>
    </w:p>
    <w:p w14:paraId="3DBDFA0A" w14:textId="2A69075E" w:rsidR="009929C5" w:rsidRPr="001F037A" w:rsidRDefault="00860AF9" w:rsidP="001F037A">
      <w:pPr>
        <w:pStyle w:val="Heading2"/>
      </w:pPr>
      <w:r w:rsidRPr="00077B16">
        <w:rPr>
          <w:bCs/>
        </w:rPr>
        <w:br w:type="page"/>
      </w:r>
      <w:r w:rsidR="00CD010F" w:rsidRPr="00CD010F">
        <w:lastRenderedPageBreak/>
        <w:t>Data collection proforma for an audit of quality of reporting of biopsy specimens taken for the diagnosis and assessment of intraoral mucosal polypoid lesions</w:t>
      </w:r>
    </w:p>
    <w:p w14:paraId="3C2E1AFD" w14:textId="77777777" w:rsidR="00253E1A" w:rsidRPr="009349D7" w:rsidRDefault="009929C5" w:rsidP="001F037A">
      <w:pPr>
        <w:pStyle w:val="Heading2"/>
      </w:pPr>
      <w:r w:rsidRPr="009349D7">
        <w:t xml:space="preserve">Audit reviewing </w:t>
      </w:r>
      <w:r w:rsidR="0051663B" w:rsidRPr="009349D7">
        <w:t>turnaround times</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5785F3E5" w:rsidR="00603ECE" w:rsidRPr="001F037A" w:rsidRDefault="00CD010F" w:rsidP="001F037A">
      <w:r>
        <w:t>Sample no.:</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644"/>
        <w:gridCol w:w="536"/>
        <w:gridCol w:w="2097"/>
        <w:gridCol w:w="2275"/>
      </w:tblGrid>
      <w:tr w:rsidR="00CD010F" w:rsidRPr="00077B16" w14:paraId="096252DE" w14:textId="77777777" w:rsidTr="00CD010F">
        <w:trPr>
          <w:cantSplit/>
          <w:trHeight w:val="128"/>
        </w:trPr>
        <w:tc>
          <w:tcPr>
            <w:tcW w:w="4302" w:type="dxa"/>
            <w:tcBorders>
              <w:bottom w:val="single" w:sz="4" w:space="0" w:color="auto"/>
            </w:tcBorders>
          </w:tcPr>
          <w:p w14:paraId="26EA664E" w14:textId="77777777" w:rsidR="00CD010F" w:rsidRPr="001F037A" w:rsidRDefault="00CD010F" w:rsidP="00CD010F">
            <w:pPr>
              <w:pStyle w:val="Tabletext"/>
            </w:pPr>
          </w:p>
        </w:tc>
        <w:tc>
          <w:tcPr>
            <w:tcW w:w="644" w:type="dxa"/>
            <w:tcBorders>
              <w:bottom w:val="single" w:sz="4" w:space="0" w:color="auto"/>
            </w:tcBorders>
          </w:tcPr>
          <w:p w14:paraId="14CDCEDA" w14:textId="77777777" w:rsidR="00CD010F" w:rsidRPr="006453B0" w:rsidRDefault="00CD010F" w:rsidP="00CD010F">
            <w:pPr>
              <w:keepNext/>
              <w:rPr>
                <w:rFonts w:cs="Arial"/>
                <w:b/>
                <w:bCs/>
              </w:rPr>
            </w:pPr>
            <w:r w:rsidRPr="006453B0">
              <w:rPr>
                <w:rFonts w:cs="Arial"/>
                <w:b/>
                <w:bCs/>
              </w:rPr>
              <w:t>1</w:t>
            </w:r>
          </w:p>
          <w:p w14:paraId="4BAF7515" w14:textId="36852FCD" w:rsidR="00CD010F" w:rsidRPr="00781C28" w:rsidRDefault="00CD010F" w:rsidP="00CD010F">
            <w:pPr>
              <w:pStyle w:val="Tabletext"/>
            </w:pPr>
            <w:r w:rsidRPr="006453B0">
              <w:rPr>
                <w:rFonts w:cs="Arial"/>
                <w:b/>
              </w:rPr>
              <w:t xml:space="preserve">Yes </w:t>
            </w:r>
          </w:p>
        </w:tc>
        <w:tc>
          <w:tcPr>
            <w:tcW w:w="536" w:type="dxa"/>
            <w:tcBorders>
              <w:bottom w:val="single" w:sz="4" w:space="0" w:color="auto"/>
            </w:tcBorders>
          </w:tcPr>
          <w:p w14:paraId="24C10108" w14:textId="77777777" w:rsidR="00CD010F" w:rsidRPr="006453B0" w:rsidRDefault="00CD010F" w:rsidP="00CD010F">
            <w:pPr>
              <w:keepNext/>
              <w:rPr>
                <w:rFonts w:cs="Arial"/>
                <w:b/>
                <w:bCs/>
              </w:rPr>
            </w:pPr>
            <w:r w:rsidRPr="006453B0">
              <w:rPr>
                <w:rFonts w:cs="Arial"/>
                <w:b/>
                <w:bCs/>
              </w:rPr>
              <w:t>2</w:t>
            </w:r>
          </w:p>
          <w:p w14:paraId="0FFDB801" w14:textId="1B5145C8" w:rsidR="00CD010F" w:rsidRPr="00781C28" w:rsidRDefault="00CD010F" w:rsidP="00CD010F">
            <w:pPr>
              <w:pStyle w:val="Tabletext"/>
            </w:pPr>
            <w:r w:rsidRPr="006453B0">
              <w:rPr>
                <w:rFonts w:cs="Arial"/>
                <w:b/>
              </w:rPr>
              <w:t>No</w:t>
            </w:r>
          </w:p>
        </w:tc>
        <w:tc>
          <w:tcPr>
            <w:tcW w:w="2097" w:type="dxa"/>
            <w:tcBorders>
              <w:bottom w:val="single" w:sz="4" w:space="0" w:color="auto"/>
            </w:tcBorders>
          </w:tcPr>
          <w:p w14:paraId="404D0B52" w14:textId="77777777" w:rsidR="00CD010F" w:rsidRDefault="00CD010F" w:rsidP="00CD010F">
            <w:pPr>
              <w:keepNext/>
              <w:tabs>
                <w:tab w:val="left" w:pos="305"/>
              </w:tabs>
              <w:ind w:left="305" w:hanging="305"/>
              <w:rPr>
                <w:rFonts w:cs="Arial"/>
                <w:b/>
                <w:bCs/>
              </w:rPr>
            </w:pPr>
            <w:r w:rsidRPr="00D54E61">
              <w:rPr>
                <w:rFonts w:cs="Arial"/>
                <w:b/>
                <w:bCs/>
              </w:rPr>
              <w:t>3</w:t>
            </w:r>
          </w:p>
          <w:p w14:paraId="7D8E7D1C" w14:textId="66B82300" w:rsidR="00CD010F" w:rsidRPr="00781C28" w:rsidRDefault="00CD010F" w:rsidP="00CD010F">
            <w:pPr>
              <w:pStyle w:val="Tabletext"/>
            </w:pPr>
            <w:r w:rsidRPr="00D54E61">
              <w:rPr>
                <w:rFonts w:cs="Arial"/>
              </w:rPr>
              <w:t xml:space="preserve">If no, was there documentation to explain the variance? </w:t>
            </w:r>
            <w:r w:rsidRPr="006453B0">
              <w:rPr>
                <w:rFonts w:cs="Arial"/>
                <w:b/>
              </w:rPr>
              <w:t>Yes/No</w:t>
            </w:r>
            <w:r w:rsidRPr="00D54E61">
              <w:rPr>
                <w:rFonts w:cs="Arial"/>
              </w:rPr>
              <w:t xml:space="preserve"> plus free-text comment</w:t>
            </w:r>
          </w:p>
        </w:tc>
        <w:tc>
          <w:tcPr>
            <w:tcW w:w="2275" w:type="dxa"/>
            <w:tcBorders>
              <w:bottom w:val="single" w:sz="4" w:space="0" w:color="auto"/>
            </w:tcBorders>
          </w:tcPr>
          <w:p w14:paraId="1077ABBE" w14:textId="77777777" w:rsidR="00CD010F" w:rsidRDefault="00CD010F" w:rsidP="00CD010F">
            <w:pPr>
              <w:keepNext/>
              <w:tabs>
                <w:tab w:val="left" w:pos="299"/>
              </w:tabs>
              <w:ind w:left="329" w:hanging="329"/>
              <w:rPr>
                <w:rFonts w:cs="Arial"/>
                <w:b/>
                <w:bCs/>
              </w:rPr>
            </w:pPr>
            <w:r>
              <w:rPr>
                <w:rFonts w:cs="Arial"/>
                <w:b/>
                <w:bCs/>
              </w:rPr>
              <w:t>4</w:t>
            </w:r>
          </w:p>
          <w:p w14:paraId="5E62A50A" w14:textId="5A0441C2" w:rsidR="00CD010F" w:rsidRPr="00781C28" w:rsidRDefault="00CD010F" w:rsidP="00CD010F">
            <w:pPr>
              <w:pStyle w:val="Tabletext"/>
              <w:rPr>
                <w:bCs/>
              </w:rPr>
            </w:pPr>
            <w:r w:rsidRPr="00D54E61">
              <w:rPr>
                <w:rFonts w:cs="Arial"/>
              </w:rPr>
              <w:t xml:space="preserve">Compliant with guideline based on </w:t>
            </w:r>
            <w:r>
              <w:rPr>
                <w:rFonts w:cs="Arial"/>
              </w:rPr>
              <w:t>‘</w:t>
            </w:r>
            <w:r w:rsidRPr="006453B0">
              <w:rPr>
                <w:rFonts w:cs="Arial"/>
                <w:bCs/>
              </w:rPr>
              <w:t>Yes</w:t>
            </w:r>
            <w:r>
              <w:rPr>
                <w:rFonts w:cs="Arial"/>
                <w:bCs/>
              </w:rPr>
              <w:t>’</w:t>
            </w:r>
            <w:r w:rsidRPr="00D54E61">
              <w:rPr>
                <w:rFonts w:cs="Arial"/>
              </w:rPr>
              <w:t xml:space="preserve"> from column 1 or an appropriate explanation from column 3. </w:t>
            </w:r>
            <w:r w:rsidRPr="006453B0">
              <w:rPr>
                <w:rFonts w:cs="Arial"/>
                <w:b/>
              </w:rPr>
              <w:t>Yes/No</w:t>
            </w:r>
          </w:p>
        </w:tc>
      </w:tr>
      <w:tr w:rsidR="00CD010F" w:rsidRPr="00077B16" w14:paraId="68DFAF5C" w14:textId="77777777" w:rsidTr="00BC2915">
        <w:trPr>
          <w:cantSplit/>
          <w:trHeight w:val="58"/>
        </w:trPr>
        <w:tc>
          <w:tcPr>
            <w:tcW w:w="9854" w:type="dxa"/>
            <w:gridSpan w:val="5"/>
            <w:tcBorders>
              <w:top w:val="single" w:sz="4" w:space="0" w:color="auto"/>
              <w:left w:val="single" w:sz="4" w:space="0" w:color="auto"/>
              <w:bottom w:val="single" w:sz="4" w:space="0" w:color="auto"/>
              <w:right w:val="single" w:sz="4" w:space="0" w:color="auto"/>
            </w:tcBorders>
          </w:tcPr>
          <w:p w14:paraId="4007088C" w14:textId="70B4D36F" w:rsidR="00CD010F" w:rsidRPr="00077B16" w:rsidRDefault="00CD010F" w:rsidP="00CD010F">
            <w:pPr>
              <w:pStyle w:val="Tabletext"/>
              <w:rPr>
                <w:b/>
                <w:bCs/>
              </w:rPr>
            </w:pPr>
            <w:r w:rsidRPr="0069714C">
              <w:rPr>
                <w:rFonts w:cs="Arial"/>
                <w:b/>
              </w:rPr>
              <w:t xml:space="preserve">Clinical details </w:t>
            </w:r>
          </w:p>
        </w:tc>
      </w:tr>
      <w:tr w:rsidR="00CD010F" w:rsidRPr="00077B16" w14:paraId="281C1E04"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685747B8" w14:textId="097DDA47" w:rsidR="00CD010F" w:rsidRPr="00077B16" w:rsidRDefault="00CD010F" w:rsidP="00CD010F">
            <w:pPr>
              <w:pStyle w:val="Tabletext"/>
              <w:rPr>
                <w:color w:val="FF0000"/>
              </w:rPr>
            </w:pPr>
            <w:r w:rsidRPr="0069714C">
              <w:rPr>
                <w:rFonts w:cs="Arial"/>
              </w:rPr>
              <w:t xml:space="preserve">Indication for biopsy is stated clearly </w:t>
            </w:r>
          </w:p>
        </w:tc>
        <w:tc>
          <w:tcPr>
            <w:tcW w:w="644" w:type="dxa"/>
            <w:tcBorders>
              <w:top w:val="single" w:sz="4" w:space="0" w:color="auto"/>
              <w:left w:val="single" w:sz="4" w:space="0" w:color="auto"/>
              <w:bottom w:val="single" w:sz="4" w:space="0" w:color="auto"/>
              <w:right w:val="single" w:sz="4" w:space="0" w:color="auto"/>
            </w:tcBorders>
          </w:tcPr>
          <w:p w14:paraId="77673BE0"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4E70FF01"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5FF3A24D"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20A6551E" w14:textId="77777777" w:rsidR="00CD010F" w:rsidRPr="00077B16" w:rsidRDefault="00CD010F" w:rsidP="00CD010F">
            <w:pPr>
              <w:pStyle w:val="Tabletext"/>
              <w:rPr>
                <w:b/>
                <w:bCs/>
              </w:rPr>
            </w:pPr>
          </w:p>
        </w:tc>
      </w:tr>
      <w:tr w:rsidR="00CD010F" w:rsidRPr="00077B16" w14:paraId="3CB1828E" w14:textId="77777777" w:rsidTr="00CD010F">
        <w:trPr>
          <w:cantSplit/>
          <w:trHeight w:val="703"/>
        </w:trPr>
        <w:tc>
          <w:tcPr>
            <w:tcW w:w="4302" w:type="dxa"/>
            <w:vMerge w:val="restart"/>
            <w:tcBorders>
              <w:top w:val="single" w:sz="4" w:space="0" w:color="auto"/>
              <w:left w:val="single" w:sz="4" w:space="0" w:color="auto"/>
              <w:right w:val="single" w:sz="4" w:space="0" w:color="auto"/>
            </w:tcBorders>
          </w:tcPr>
          <w:p w14:paraId="4AD8BF5E" w14:textId="77777777" w:rsidR="00CD010F" w:rsidRPr="00077B16" w:rsidRDefault="00CD010F" w:rsidP="00CD010F">
            <w:pPr>
              <w:pStyle w:val="Tabletext"/>
              <w:rPr>
                <w:b/>
                <w:bCs/>
              </w:rPr>
            </w:pPr>
            <w:r>
              <w:rPr>
                <w:rFonts w:cs="Arial"/>
              </w:rPr>
              <w:t>Clinical description of the lesion is recorded:</w:t>
            </w:r>
          </w:p>
          <w:p w14:paraId="78324559" w14:textId="2EF865F2" w:rsidR="00CD010F" w:rsidRPr="00077B16" w:rsidRDefault="00CD010F" w:rsidP="00CD010F">
            <w:pPr>
              <w:pStyle w:val="Tabletext"/>
            </w:pPr>
            <w:r>
              <w:rPr>
                <w:rFonts w:cs="Arial"/>
              </w:rPr>
              <w:t xml:space="preserve">a) </w:t>
            </w:r>
            <w:r>
              <w:rPr>
                <w:rFonts w:cs="Arial"/>
              </w:rPr>
              <w:t>Site or sites of lesion</w:t>
            </w:r>
          </w:p>
          <w:p w14:paraId="59B8492E" w14:textId="6187C8E0" w:rsidR="00CD010F" w:rsidRPr="00077B16" w:rsidRDefault="00CD010F" w:rsidP="00CD010F">
            <w:pPr>
              <w:pStyle w:val="Tabletext"/>
              <w:rPr>
                <w:b/>
                <w:bCs/>
              </w:rPr>
            </w:pPr>
            <w:r>
              <w:rPr>
                <w:rFonts w:cs="Arial"/>
              </w:rPr>
              <w:t xml:space="preserve">b) </w:t>
            </w:r>
            <w:r>
              <w:rPr>
                <w:rFonts w:cs="Arial"/>
              </w:rPr>
              <w:t>Appearances of lesion</w:t>
            </w:r>
          </w:p>
        </w:tc>
        <w:tc>
          <w:tcPr>
            <w:tcW w:w="5552" w:type="dxa"/>
            <w:gridSpan w:val="4"/>
            <w:tcBorders>
              <w:top w:val="single" w:sz="4" w:space="0" w:color="auto"/>
              <w:left w:val="single" w:sz="4" w:space="0" w:color="auto"/>
              <w:bottom w:val="single" w:sz="4" w:space="0" w:color="auto"/>
              <w:right w:val="single" w:sz="4" w:space="0" w:color="auto"/>
            </w:tcBorders>
          </w:tcPr>
          <w:p w14:paraId="518D8198" w14:textId="77777777" w:rsidR="00CD010F" w:rsidRPr="00077B16" w:rsidRDefault="00CD010F" w:rsidP="00CD010F">
            <w:pPr>
              <w:pStyle w:val="Tabletext"/>
              <w:rPr>
                <w:b/>
                <w:bCs/>
              </w:rPr>
            </w:pPr>
          </w:p>
        </w:tc>
      </w:tr>
      <w:tr w:rsidR="00CD010F" w:rsidRPr="00077B16" w14:paraId="0251DA41" w14:textId="77777777" w:rsidTr="0026681E">
        <w:trPr>
          <w:cantSplit/>
          <w:trHeight w:val="74"/>
        </w:trPr>
        <w:tc>
          <w:tcPr>
            <w:tcW w:w="4302" w:type="dxa"/>
            <w:vMerge/>
            <w:tcBorders>
              <w:left w:val="single" w:sz="4" w:space="0" w:color="auto"/>
              <w:right w:val="single" w:sz="4" w:space="0" w:color="auto"/>
            </w:tcBorders>
          </w:tcPr>
          <w:p w14:paraId="00EA4F5E" w14:textId="73696852" w:rsidR="00CD010F" w:rsidRPr="00077B16" w:rsidRDefault="00CD010F" w:rsidP="00CD010F">
            <w:pPr>
              <w:pStyle w:val="Tabletext"/>
            </w:pPr>
          </w:p>
        </w:tc>
        <w:tc>
          <w:tcPr>
            <w:tcW w:w="644" w:type="dxa"/>
            <w:tcBorders>
              <w:top w:val="single" w:sz="4" w:space="0" w:color="auto"/>
              <w:left w:val="single" w:sz="4" w:space="0" w:color="auto"/>
              <w:bottom w:val="single" w:sz="4" w:space="0" w:color="auto"/>
              <w:right w:val="single" w:sz="4" w:space="0" w:color="auto"/>
            </w:tcBorders>
          </w:tcPr>
          <w:p w14:paraId="37F36B17"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10603610"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5606C78C"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5D22277D" w14:textId="77777777" w:rsidR="00CD010F" w:rsidRPr="00077B16" w:rsidRDefault="00CD010F" w:rsidP="00CD010F">
            <w:pPr>
              <w:pStyle w:val="Tabletext"/>
              <w:rPr>
                <w:b/>
                <w:bCs/>
              </w:rPr>
            </w:pPr>
          </w:p>
        </w:tc>
      </w:tr>
      <w:tr w:rsidR="00CD010F" w:rsidRPr="00077B16" w14:paraId="7CE77257" w14:textId="77777777" w:rsidTr="0026681E">
        <w:trPr>
          <w:cantSplit/>
          <w:trHeight w:val="128"/>
        </w:trPr>
        <w:tc>
          <w:tcPr>
            <w:tcW w:w="4302" w:type="dxa"/>
            <w:vMerge/>
            <w:tcBorders>
              <w:left w:val="single" w:sz="4" w:space="0" w:color="auto"/>
              <w:bottom w:val="single" w:sz="4" w:space="0" w:color="auto"/>
              <w:right w:val="single" w:sz="4" w:space="0" w:color="auto"/>
            </w:tcBorders>
          </w:tcPr>
          <w:p w14:paraId="192E9C0C" w14:textId="0B29AB90" w:rsidR="00CD010F" w:rsidRPr="00077B16" w:rsidRDefault="00CD010F" w:rsidP="00CD010F">
            <w:pPr>
              <w:pStyle w:val="Tabletext"/>
            </w:pPr>
          </w:p>
        </w:tc>
        <w:tc>
          <w:tcPr>
            <w:tcW w:w="644" w:type="dxa"/>
            <w:tcBorders>
              <w:top w:val="single" w:sz="4" w:space="0" w:color="auto"/>
              <w:left w:val="single" w:sz="4" w:space="0" w:color="auto"/>
              <w:bottom w:val="single" w:sz="4" w:space="0" w:color="auto"/>
              <w:right w:val="single" w:sz="4" w:space="0" w:color="auto"/>
            </w:tcBorders>
          </w:tcPr>
          <w:p w14:paraId="2C254730"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2D28CA37"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10E2684A"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58C79D39" w14:textId="77777777" w:rsidR="00CD010F" w:rsidRPr="00077B16" w:rsidRDefault="00CD010F" w:rsidP="00CD010F">
            <w:pPr>
              <w:pStyle w:val="Tabletext"/>
              <w:rPr>
                <w:b/>
                <w:bCs/>
              </w:rPr>
            </w:pPr>
          </w:p>
        </w:tc>
      </w:tr>
      <w:tr w:rsidR="00CD010F" w:rsidRPr="00077B16" w14:paraId="339C338B"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561A5D41" w14:textId="44887803" w:rsidR="00CD010F" w:rsidRPr="00077B16" w:rsidRDefault="00CD010F" w:rsidP="00CD010F">
            <w:pPr>
              <w:pStyle w:val="Tabletext"/>
            </w:pPr>
            <w:r>
              <w:rPr>
                <w:rFonts w:cs="Arial"/>
              </w:rPr>
              <w:t>Clinical diagnosis is recorded</w:t>
            </w:r>
          </w:p>
        </w:tc>
        <w:tc>
          <w:tcPr>
            <w:tcW w:w="644" w:type="dxa"/>
            <w:tcBorders>
              <w:top w:val="single" w:sz="4" w:space="0" w:color="auto"/>
              <w:left w:val="single" w:sz="4" w:space="0" w:color="auto"/>
              <w:bottom w:val="single" w:sz="4" w:space="0" w:color="auto"/>
              <w:right w:val="single" w:sz="4" w:space="0" w:color="auto"/>
            </w:tcBorders>
          </w:tcPr>
          <w:p w14:paraId="4C7864F3"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41C58C0E"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529ABD64"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15608A09" w14:textId="77777777" w:rsidR="00CD010F" w:rsidRPr="00077B16" w:rsidRDefault="00CD010F" w:rsidP="00CD010F">
            <w:pPr>
              <w:pStyle w:val="Tabletext"/>
              <w:rPr>
                <w:b/>
                <w:bCs/>
              </w:rPr>
            </w:pPr>
          </w:p>
        </w:tc>
      </w:tr>
      <w:tr w:rsidR="00CD010F" w:rsidRPr="00077B16" w14:paraId="5E79D2C8"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0A721EC9" w14:textId="4270E9F3" w:rsidR="00CD010F" w:rsidRPr="00077B16" w:rsidRDefault="00CD010F" w:rsidP="00CD010F">
            <w:pPr>
              <w:pStyle w:val="Tabletext"/>
            </w:pPr>
            <w:r w:rsidRPr="003E3E0A">
              <w:rPr>
                <w:rFonts w:cs="Arial"/>
              </w:rPr>
              <w:t xml:space="preserve">Sampling is adequate </w:t>
            </w:r>
          </w:p>
        </w:tc>
        <w:tc>
          <w:tcPr>
            <w:tcW w:w="644" w:type="dxa"/>
            <w:tcBorders>
              <w:top w:val="single" w:sz="4" w:space="0" w:color="auto"/>
              <w:left w:val="single" w:sz="4" w:space="0" w:color="auto"/>
              <w:bottom w:val="single" w:sz="4" w:space="0" w:color="auto"/>
              <w:right w:val="single" w:sz="4" w:space="0" w:color="auto"/>
            </w:tcBorders>
          </w:tcPr>
          <w:p w14:paraId="5713BCD7"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2B406A4F"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613B293F"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35AA39D8" w14:textId="77777777" w:rsidR="00CD010F" w:rsidRPr="00077B16" w:rsidRDefault="00CD010F" w:rsidP="00CD010F">
            <w:pPr>
              <w:pStyle w:val="Tabletext"/>
              <w:rPr>
                <w:b/>
                <w:bCs/>
              </w:rPr>
            </w:pPr>
          </w:p>
        </w:tc>
      </w:tr>
      <w:tr w:rsidR="00CD010F" w:rsidRPr="00077B16" w14:paraId="4055AAB7"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02982F28" w14:textId="00CBE779" w:rsidR="00CD010F" w:rsidRPr="00077B16" w:rsidRDefault="00CD010F" w:rsidP="00CD010F">
            <w:pPr>
              <w:pStyle w:val="Tabletext"/>
              <w:rPr>
                <w:color w:val="FF0000"/>
              </w:rPr>
            </w:pPr>
            <w:r w:rsidRPr="003E3E0A">
              <w:rPr>
                <w:rFonts w:cs="Arial"/>
              </w:rPr>
              <w:t>Anatomical site of origin is clearly identifiable for all biopsies</w:t>
            </w:r>
          </w:p>
        </w:tc>
        <w:tc>
          <w:tcPr>
            <w:tcW w:w="644" w:type="dxa"/>
            <w:tcBorders>
              <w:top w:val="single" w:sz="4" w:space="0" w:color="auto"/>
              <w:left w:val="single" w:sz="4" w:space="0" w:color="auto"/>
              <w:bottom w:val="single" w:sz="4" w:space="0" w:color="auto"/>
              <w:right w:val="single" w:sz="4" w:space="0" w:color="auto"/>
            </w:tcBorders>
          </w:tcPr>
          <w:p w14:paraId="2355C59C"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2C8AAE5E"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5F501B92"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1F3E9E90" w14:textId="77777777" w:rsidR="00CD010F" w:rsidRPr="00077B16" w:rsidRDefault="00CD010F" w:rsidP="00CD010F">
            <w:pPr>
              <w:pStyle w:val="Tabletext"/>
              <w:rPr>
                <w:b/>
                <w:bCs/>
              </w:rPr>
            </w:pPr>
          </w:p>
        </w:tc>
      </w:tr>
      <w:tr w:rsidR="00CD010F" w:rsidRPr="00077B16" w14:paraId="1D045AA4" w14:textId="77777777" w:rsidTr="00237E6E">
        <w:trPr>
          <w:cantSplit/>
          <w:trHeight w:val="128"/>
        </w:trPr>
        <w:tc>
          <w:tcPr>
            <w:tcW w:w="9854" w:type="dxa"/>
            <w:gridSpan w:val="5"/>
            <w:tcBorders>
              <w:top w:val="single" w:sz="4" w:space="0" w:color="auto"/>
              <w:left w:val="single" w:sz="4" w:space="0" w:color="auto"/>
              <w:bottom w:val="single" w:sz="4" w:space="0" w:color="auto"/>
              <w:right w:val="single" w:sz="4" w:space="0" w:color="auto"/>
            </w:tcBorders>
            <w:vAlign w:val="center"/>
          </w:tcPr>
          <w:p w14:paraId="293979DA" w14:textId="4CF0561B" w:rsidR="00CD010F" w:rsidRPr="00077B16" w:rsidRDefault="00CD010F" w:rsidP="00CD010F">
            <w:pPr>
              <w:pStyle w:val="Tabletext"/>
              <w:rPr>
                <w:b/>
                <w:bCs/>
              </w:rPr>
            </w:pPr>
            <w:r w:rsidRPr="006A28A5">
              <w:rPr>
                <w:rFonts w:cs="Arial"/>
                <w:b/>
              </w:rPr>
              <w:t>Macroscopic description/</w:t>
            </w:r>
            <w:r>
              <w:rPr>
                <w:rFonts w:cs="Arial"/>
                <w:b/>
              </w:rPr>
              <w:t>slide preparation</w:t>
            </w:r>
          </w:p>
        </w:tc>
      </w:tr>
      <w:tr w:rsidR="00CD010F" w:rsidRPr="00077B16" w14:paraId="4420D969"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4B161321" w14:textId="0A5EA1D7" w:rsidR="00CD010F" w:rsidRPr="00077B16" w:rsidRDefault="00CD010F" w:rsidP="00CD010F">
            <w:pPr>
              <w:pStyle w:val="Tabletext"/>
            </w:pPr>
            <w:r w:rsidRPr="0069714C">
              <w:rPr>
                <w:rFonts w:cs="Arial"/>
              </w:rPr>
              <w:t xml:space="preserve">Number of fragments is recorded </w:t>
            </w:r>
          </w:p>
        </w:tc>
        <w:tc>
          <w:tcPr>
            <w:tcW w:w="644" w:type="dxa"/>
            <w:tcBorders>
              <w:top w:val="single" w:sz="4" w:space="0" w:color="auto"/>
              <w:left w:val="single" w:sz="4" w:space="0" w:color="auto"/>
              <w:bottom w:val="single" w:sz="4" w:space="0" w:color="auto"/>
              <w:right w:val="single" w:sz="4" w:space="0" w:color="auto"/>
            </w:tcBorders>
          </w:tcPr>
          <w:p w14:paraId="28E8B2C1"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021E60D2"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62750F6F"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3FDE098A" w14:textId="77777777" w:rsidR="00CD010F" w:rsidRPr="00077B16" w:rsidRDefault="00CD010F" w:rsidP="00CD010F">
            <w:pPr>
              <w:pStyle w:val="Tabletext"/>
              <w:rPr>
                <w:b/>
                <w:bCs/>
              </w:rPr>
            </w:pPr>
          </w:p>
        </w:tc>
      </w:tr>
      <w:tr w:rsidR="00CD010F" w:rsidRPr="00077B16" w14:paraId="3262F634"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3B4168A9" w14:textId="6B736039" w:rsidR="00CD010F" w:rsidRPr="00077B16" w:rsidRDefault="00CD010F" w:rsidP="00CD010F">
            <w:pPr>
              <w:pStyle w:val="Tabletext"/>
            </w:pPr>
            <w:r>
              <w:rPr>
                <w:rFonts w:cs="Arial"/>
              </w:rPr>
              <w:t>Size of the largest fragment is recorded</w:t>
            </w:r>
          </w:p>
        </w:tc>
        <w:tc>
          <w:tcPr>
            <w:tcW w:w="644" w:type="dxa"/>
            <w:tcBorders>
              <w:top w:val="single" w:sz="4" w:space="0" w:color="auto"/>
              <w:left w:val="single" w:sz="4" w:space="0" w:color="auto"/>
              <w:bottom w:val="single" w:sz="4" w:space="0" w:color="auto"/>
              <w:right w:val="single" w:sz="4" w:space="0" w:color="auto"/>
            </w:tcBorders>
          </w:tcPr>
          <w:p w14:paraId="5758FB3A"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0BAAC620"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317F7C3D"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02CDF5FF" w14:textId="77777777" w:rsidR="00CD010F" w:rsidRPr="00077B16" w:rsidRDefault="00CD010F" w:rsidP="00CD010F">
            <w:pPr>
              <w:pStyle w:val="Tabletext"/>
              <w:rPr>
                <w:b/>
                <w:bCs/>
              </w:rPr>
            </w:pPr>
          </w:p>
        </w:tc>
      </w:tr>
      <w:tr w:rsidR="00CD010F" w:rsidRPr="00077B16" w14:paraId="5375EB38"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198BF612" w14:textId="443F6C38" w:rsidR="00CD010F" w:rsidRPr="00077B16" w:rsidRDefault="00CD010F" w:rsidP="00CD010F">
            <w:pPr>
              <w:pStyle w:val="Tabletext"/>
            </w:pPr>
            <w:r w:rsidRPr="0069714C">
              <w:rPr>
                <w:rFonts w:cs="Arial"/>
              </w:rPr>
              <w:t xml:space="preserve">At least </w:t>
            </w:r>
            <w:r>
              <w:rPr>
                <w:rFonts w:cs="Arial"/>
              </w:rPr>
              <w:t>one H&amp;E-stained slide is</w:t>
            </w:r>
            <w:r w:rsidRPr="0069714C">
              <w:rPr>
                <w:rFonts w:cs="Arial"/>
              </w:rPr>
              <w:t xml:space="preserve"> available for each </w:t>
            </w:r>
            <w:r>
              <w:rPr>
                <w:rFonts w:cs="Arial"/>
              </w:rPr>
              <w:t>tissue block</w:t>
            </w:r>
          </w:p>
        </w:tc>
        <w:tc>
          <w:tcPr>
            <w:tcW w:w="644" w:type="dxa"/>
            <w:tcBorders>
              <w:top w:val="single" w:sz="4" w:space="0" w:color="auto"/>
              <w:left w:val="single" w:sz="4" w:space="0" w:color="auto"/>
              <w:bottom w:val="single" w:sz="4" w:space="0" w:color="auto"/>
              <w:right w:val="single" w:sz="4" w:space="0" w:color="auto"/>
            </w:tcBorders>
          </w:tcPr>
          <w:p w14:paraId="296BDE77"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2A425179"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4D3C6B6B"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21F1C742" w14:textId="77777777" w:rsidR="00CD010F" w:rsidRPr="00077B16" w:rsidRDefault="00CD010F" w:rsidP="00CD010F">
            <w:pPr>
              <w:pStyle w:val="Tabletext"/>
              <w:rPr>
                <w:b/>
                <w:bCs/>
              </w:rPr>
            </w:pPr>
          </w:p>
        </w:tc>
      </w:tr>
      <w:tr w:rsidR="00CD010F" w:rsidRPr="00077B16" w14:paraId="77ACD80C" w14:textId="77777777" w:rsidTr="00377047">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05ED323C" w14:textId="7F45F67A" w:rsidR="00CD010F" w:rsidRPr="00077B16" w:rsidRDefault="00CD010F" w:rsidP="00CD010F">
            <w:pPr>
              <w:pStyle w:val="Tabletext"/>
              <w:rPr>
                <w:b/>
                <w:bCs/>
              </w:rPr>
            </w:pPr>
            <w:r w:rsidRPr="0069714C">
              <w:rPr>
                <w:rFonts w:cs="Arial"/>
                <w:b/>
              </w:rPr>
              <w:t>Microscopic report</w:t>
            </w:r>
          </w:p>
        </w:tc>
      </w:tr>
      <w:tr w:rsidR="00CD010F" w:rsidRPr="00077B16" w14:paraId="5B5FE2CF"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3CE943AA" w14:textId="18390FB6" w:rsidR="00CD010F" w:rsidRPr="00077B16" w:rsidRDefault="00CD010F" w:rsidP="00CD010F">
            <w:pPr>
              <w:pStyle w:val="Tabletext"/>
            </w:pPr>
            <w:r w:rsidRPr="0069714C">
              <w:rPr>
                <w:rFonts w:cs="Arial"/>
              </w:rPr>
              <w:lastRenderedPageBreak/>
              <w:t xml:space="preserve">Biopsies from separate sites are described separately or biopsies from different sites which have the same features are described </w:t>
            </w:r>
            <w:r>
              <w:rPr>
                <w:rFonts w:cs="Arial"/>
              </w:rPr>
              <w:t>together</w:t>
            </w:r>
          </w:p>
        </w:tc>
        <w:tc>
          <w:tcPr>
            <w:tcW w:w="644" w:type="dxa"/>
            <w:tcBorders>
              <w:top w:val="single" w:sz="4" w:space="0" w:color="auto"/>
              <w:left w:val="single" w:sz="4" w:space="0" w:color="auto"/>
              <w:bottom w:val="single" w:sz="4" w:space="0" w:color="auto"/>
              <w:right w:val="single" w:sz="4" w:space="0" w:color="auto"/>
            </w:tcBorders>
          </w:tcPr>
          <w:p w14:paraId="5BD59B9C"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2CBF9B1F"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4DAEB9DF"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431D7009" w14:textId="77777777" w:rsidR="00CD010F" w:rsidRPr="00077B16" w:rsidRDefault="00CD010F" w:rsidP="00CD010F">
            <w:pPr>
              <w:pStyle w:val="Tabletext"/>
              <w:rPr>
                <w:b/>
                <w:bCs/>
              </w:rPr>
            </w:pPr>
          </w:p>
        </w:tc>
      </w:tr>
      <w:tr w:rsidR="00CD010F" w:rsidRPr="00077B16" w14:paraId="170C7825"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1919918D" w14:textId="5469D2CC" w:rsidR="00CD010F" w:rsidRPr="0069714C" w:rsidRDefault="00CD010F" w:rsidP="00CD010F">
            <w:pPr>
              <w:pStyle w:val="Tabletext"/>
              <w:rPr>
                <w:rFonts w:cs="Arial"/>
              </w:rPr>
            </w:pPr>
            <w:r w:rsidRPr="0069714C">
              <w:rPr>
                <w:rFonts w:cs="Arial"/>
              </w:rPr>
              <w:t xml:space="preserve">Description </w:t>
            </w:r>
            <w:r>
              <w:rPr>
                <w:rFonts w:cs="Arial"/>
              </w:rPr>
              <w:t>of changes in mucosal morphology is clear enough to be ascertained by the auditor</w:t>
            </w:r>
          </w:p>
        </w:tc>
        <w:tc>
          <w:tcPr>
            <w:tcW w:w="644" w:type="dxa"/>
            <w:tcBorders>
              <w:top w:val="single" w:sz="4" w:space="0" w:color="auto"/>
              <w:left w:val="single" w:sz="4" w:space="0" w:color="auto"/>
              <w:bottom w:val="single" w:sz="4" w:space="0" w:color="auto"/>
              <w:right w:val="single" w:sz="4" w:space="0" w:color="auto"/>
            </w:tcBorders>
          </w:tcPr>
          <w:p w14:paraId="04F1873F"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40DE3821"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281C2554"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5AD0CB1A" w14:textId="77777777" w:rsidR="00CD010F" w:rsidRPr="00077B16" w:rsidRDefault="00CD010F" w:rsidP="00CD010F">
            <w:pPr>
              <w:pStyle w:val="Tabletext"/>
              <w:rPr>
                <w:b/>
                <w:bCs/>
              </w:rPr>
            </w:pPr>
          </w:p>
        </w:tc>
      </w:tr>
      <w:tr w:rsidR="00CD010F" w:rsidRPr="00077B16" w14:paraId="78274E46" w14:textId="77777777" w:rsidTr="0067296F">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30C45CC2" w14:textId="2A374552" w:rsidR="00CD010F" w:rsidRPr="00077B16" w:rsidRDefault="00CD010F" w:rsidP="00CD010F">
            <w:pPr>
              <w:pStyle w:val="Tabletext"/>
              <w:rPr>
                <w:b/>
                <w:bCs/>
              </w:rPr>
            </w:pPr>
            <w:r>
              <w:rPr>
                <w:rFonts w:cs="Arial"/>
                <w:b/>
              </w:rPr>
              <w:t xml:space="preserve">Summary and </w:t>
            </w:r>
            <w:r w:rsidRPr="0069714C">
              <w:rPr>
                <w:rFonts w:cs="Arial"/>
                <w:b/>
              </w:rPr>
              <w:t>conclusion</w:t>
            </w:r>
          </w:p>
        </w:tc>
      </w:tr>
      <w:tr w:rsidR="00CD010F" w:rsidRPr="00077B16" w14:paraId="6535B2AF"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374F87C3" w14:textId="5814C61B" w:rsidR="00CD010F" w:rsidRDefault="00CD010F" w:rsidP="00CD010F">
            <w:pPr>
              <w:pStyle w:val="Tabletext"/>
              <w:rPr>
                <w:rFonts w:cs="Arial"/>
                <w:b/>
              </w:rPr>
            </w:pPr>
            <w:r w:rsidRPr="0069714C">
              <w:rPr>
                <w:rFonts w:cs="Arial"/>
              </w:rPr>
              <w:t>Summary of microscopic changes is given</w:t>
            </w:r>
          </w:p>
        </w:tc>
        <w:tc>
          <w:tcPr>
            <w:tcW w:w="644" w:type="dxa"/>
            <w:tcBorders>
              <w:top w:val="single" w:sz="4" w:space="0" w:color="auto"/>
              <w:left w:val="single" w:sz="4" w:space="0" w:color="auto"/>
              <w:bottom w:val="single" w:sz="4" w:space="0" w:color="auto"/>
              <w:right w:val="single" w:sz="4" w:space="0" w:color="auto"/>
            </w:tcBorders>
          </w:tcPr>
          <w:p w14:paraId="01180D33"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12BF0A56"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45FC508C"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7BAADEE3" w14:textId="77777777" w:rsidR="00CD010F" w:rsidRPr="00077B16" w:rsidRDefault="00CD010F" w:rsidP="00CD010F">
            <w:pPr>
              <w:pStyle w:val="Tabletext"/>
              <w:rPr>
                <w:b/>
                <w:bCs/>
              </w:rPr>
            </w:pPr>
          </w:p>
        </w:tc>
      </w:tr>
      <w:tr w:rsidR="00CD010F" w:rsidRPr="00077B16" w14:paraId="7CCC4A79"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4538B984" w14:textId="4451EC2F" w:rsidR="00CD010F" w:rsidRPr="0069714C" w:rsidRDefault="00CD010F" w:rsidP="00CD010F">
            <w:pPr>
              <w:pStyle w:val="Tabletext"/>
              <w:rPr>
                <w:rFonts w:cs="Arial"/>
              </w:rPr>
            </w:pPr>
            <w:r w:rsidRPr="0069714C">
              <w:rPr>
                <w:rFonts w:cs="Arial"/>
              </w:rPr>
              <w:t>Preference</w:t>
            </w:r>
            <w:r>
              <w:rPr>
                <w:rFonts w:cs="Arial"/>
              </w:rPr>
              <w:t xml:space="preserve"> for a diagnosis</w:t>
            </w:r>
            <w:r w:rsidRPr="0069714C">
              <w:rPr>
                <w:rFonts w:cs="Arial"/>
              </w:rPr>
              <w:t>, or</w:t>
            </w:r>
            <w:r>
              <w:rPr>
                <w:rFonts w:cs="Arial"/>
              </w:rPr>
              <w:t xml:space="preserve"> the</w:t>
            </w:r>
            <w:r w:rsidRPr="0069714C">
              <w:rPr>
                <w:rFonts w:cs="Arial"/>
              </w:rPr>
              <w:t xml:space="preserve"> inability to distinguish </w:t>
            </w:r>
            <w:r>
              <w:rPr>
                <w:rFonts w:cs="Arial"/>
              </w:rPr>
              <w:t xml:space="preserve">between diagnoses, </w:t>
            </w:r>
            <w:r w:rsidRPr="0069714C">
              <w:rPr>
                <w:rFonts w:cs="Arial"/>
              </w:rPr>
              <w:t>is recorded</w:t>
            </w:r>
          </w:p>
        </w:tc>
        <w:tc>
          <w:tcPr>
            <w:tcW w:w="644" w:type="dxa"/>
            <w:tcBorders>
              <w:top w:val="single" w:sz="4" w:space="0" w:color="auto"/>
              <w:left w:val="single" w:sz="4" w:space="0" w:color="auto"/>
              <w:bottom w:val="single" w:sz="4" w:space="0" w:color="auto"/>
              <w:right w:val="single" w:sz="4" w:space="0" w:color="auto"/>
            </w:tcBorders>
          </w:tcPr>
          <w:p w14:paraId="2C31C82F"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0CD974A4"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0D5C6896"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2D24EE07" w14:textId="77777777" w:rsidR="00CD010F" w:rsidRPr="00077B16" w:rsidRDefault="00CD010F" w:rsidP="00CD010F">
            <w:pPr>
              <w:pStyle w:val="Tabletext"/>
              <w:rPr>
                <w:b/>
                <w:bCs/>
              </w:rPr>
            </w:pPr>
          </w:p>
        </w:tc>
      </w:tr>
      <w:tr w:rsidR="00CD010F" w:rsidRPr="00077B16" w14:paraId="22219BE9" w14:textId="77777777" w:rsidTr="00CD010F">
        <w:trPr>
          <w:cantSplit/>
          <w:trHeight w:val="128"/>
        </w:trPr>
        <w:tc>
          <w:tcPr>
            <w:tcW w:w="4302" w:type="dxa"/>
            <w:tcBorders>
              <w:top w:val="single" w:sz="4" w:space="0" w:color="auto"/>
              <w:left w:val="single" w:sz="4" w:space="0" w:color="auto"/>
              <w:bottom w:val="single" w:sz="4" w:space="0" w:color="auto"/>
              <w:right w:val="single" w:sz="4" w:space="0" w:color="auto"/>
            </w:tcBorders>
          </w:tcPr>
          <w:p w14:paraId="3EF9D1BB" w14:textId="7E66F057" w:rsidR="00CD010F" w:rsidRPr="0069714C" w:rsidRDefault="00CD010F" w:rsidP="00CD010F">
            <w:pPr>
              <w:pStyle w:val="Tabletext"/>
              <w:rPr>
                <w:rFonts w:cs="Arial"/>
              </w:rPr>
            </w:pPr>
            <w:r>
              <w:rPr>
                <w:rFonts w:cs="Arial"/>
              </w:rPr>
              <w:t>The r</w:t>
            </w:r>
            <w:r w:rsidRPr="0069714C">
              <w:rPr>
                <w:rFonts w:cs="Arial"/>
              </w:rPr>
              <w:t xml:space="preserve">eport is authorised within </w:t>
            </w:r>
            <w:r>
              <w:rPr>
                <w:rFonts w:cs="Arial"/>
              </w:rPr>
              <w:t>the agreed turnaround time period</w:t>
            </w:r>
          </w:p>
        </w:tc>
        <w:tc>
          <w:tcPr>
            <w:tcW w:w="644" w:type="dxa"/>
            <w:tcBorders>
              <w:top w:val="single" w:sz="4" w:space="0" w:color="auto"/>
              <w:left w:val="single" w:sz="4" w:space="0" w:color="auto"/>
              <w:bottom w:val="single" w:sz="4" w:space="0" w:color="auto"/>
              <w:right w:val="single" w:sz="4" w:space="0" w:color="auto"/>
            </w:tcBorders>
          </w:tcPr>
          <w:p w14:paraId="10EFC489" w14:textId="77777777" w:rsidR="00CD010F" w:rsidRPr="00077B16" w:rsidRDefault="00CD010F" w:rsidP="00CD010F">
            <w:pPr>
              <w:pStyle w:val="Tabletext"/>
              <w:rPr>
                <w:b/>
                <w:bCs/>
              </w:rPr>
            </w:pPr>
          </w:p>
        </w:tc>
        <w:tc>
          <w:tcPr>
            <w:tcW w:w="536" w:type="dxa"/>
            <w:tcBorders>
              <w:top w:val="single" w:sz="4" w:space="0" w:color="auto"/>
              <w:left w:val="single" w:sz="4" w:space="0" w:color="auto"/>
              <w:bottom w:val="single" w:sz="4" w:space="0" w:color="auto"/>
              <w:right w:val="single" w:sz="4" w:space="0" w:color="auto"/>
            </w:tcBorders>
          </w:tcPr>
          <w:p w14:paraId="595367D3" w14:textId="77777777" w:rsidR="00CD010F" w:rsidRPr="00077B16" w:rsidRDefault="00CD010F" w:rsidP="00CD010F">
            <w:pPr>
              <w:pStyle w:val="Tabletext"/>
              <w:rPr>
                <w:b/>
                <w:bCs/>
              </w:rPr>
            </w:pPr>
          </w:p>
        </w:tc>
        <w:tc>
          <w:tcPr>
            <w:tcW w:w="2097" w:type="dxa"/>
            <w:tcBorders>
              <w:top w:val="single" w:sz="4" w:space="0" w:color="auto"/>
              <w:left w:val="single" w:sz="4" w:space="0" w:color="auto"/>
              <w:bottom w:val="single" w:sz="4" w:space="0" w:color="auto"/>
              <w:right w:val="single" w:sz="4" w:space="0" w:color="auto"/>
            </w:tcBorders>
          </w:tcPr>
          <w:p w14:paraId="6FC3025C" w14:textId="77777777" w:rsidR="00CD010F" w:rsidRPr="00077B16" w:rsidRDefault="00CD010F" w:rsidP="00CD010F">
            <w:pPr>
              <w:pStyle w:val="Tabletext"/>
              <w:rPr>
                <w:b/>
                <w:bCs/>
              </w:rPr>
            </w:pPr>
          </w:p>
        </w:tc>
        <w:tc>
          <w:tcPr>
            <w:tcW w:w="2275" w:type="dxa"/>
            <w:tcBorders>
              <w:top w:val="single" w:sz="4" w:space="0" w:color="auto"/>
              <w:left w:val="single" w:sz="4" w:space="0" w:color="auto"/>
              <w:bottom w:val="single" w:sz="4" w:space="0" w:color="auto"/>
              <w:right w:val="single" w:sz="4" w:space="0" w:color="auto"/>
            </w:tcBorders>
          </w:tcPr>
          <w:p w14:paraId="273E752A" w14:textId="77777777" w:rsidR="00CD010F" w:rsidRPr="00077B16" w:rsidRDefault="00CD010F" w:rsidP="00CD010F">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2DE35E10" w:rsidR="002806C7" w:rsidRPr="009349D7" w:rsidRDefault="00CD010F" w:rsidP="00CD010F">
            <w:pPr>
              <w:pStyle w:val="Tabletext"/>
              <w:spacing w:line="360" w:lineRule="auto"/>
            </w:pPr>
            <w:r w:rsidRPr="00CD010F">
              <w:rPr>
                <w:rFonts w:cs="Arial"/>
                <w:szCs w:val="24"/>
              </w:rPr>
              <w:t>An audit of quality of reporting of biopsy specimens taken for the diagnosis and assessment of intraoral mucosal polypoid lesions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mbria"/>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1CE22B92"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9264"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CD010F">
      <w:rPr>
        <w:rFonts w:cs="Arial"/>
        <w:sz w:val="20"/>
        <w:szCs w:val="20"/>
      </w:rPr>
      <w:t>291123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3299F713"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1552"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3120"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CD010F">
      <w:rPr>
        <w:rFonts w:cs="Arial"/>
        <w:sz w:val="20"/>
        <w:szCs w:val="20"/>
      </w:rPr>
      <w:t>291123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CD010F">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97EB8"/>
    <w:multiLevelType w:val="hybridMultilevel"/>
    <w:tmpl w:val="4C04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B438E"/>
    <w:multiLevelType w:val="hybridMultilevel"/>
    <w:tmpl w:val="C9765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C10774"/>
    <w:multiLevelType w:val="hybridMultilevel"/>
    <w:tmpl w:val="C26EB21A"/>
    <w:lvl w:ilvl="0" w:tplc="16DAE96E">
      <w:start w:val="1"/>
      <w:numFmt w:val="lowerLetter"/>
      <w:lvlText w:val="%1)"/>
      <w:lvlJc w:val="left"/>
      <w:pPr>
        <w:ind w:left="720" w:hanging="360"/>
      </w:pPr>
      <w:rPr>
        <w:rFonts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1B2116"/>
    <w:multiLevelType w:val="hybridMultilevel"/>
    <w:tmpl w:val="B7BE88A4"/>
    <w:lvl w:ilvl="0" w:tplc="08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AB4FD9"/>
    <w:multiLevelType w:val="hybridMultilevel"/>
    <w:tmpl w:val="A5846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3"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3963F0"/>
    <w:multiLevelType w:val="hybridMultilevel"/>
    <w:tmpl w:val="88F233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D45340"/>
    <w:multiLevelType w:val="hybridMultilevel"/>
    <w:tmpl w:val="3466ADFC"/>
    <w:lvl w:ilvl="0" w:tplc="25688CE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8A5F1E"/>
    <w:multiLevelType w:val="hybridMultilevel"/>
    <w:tmpl w:val="B288B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8"/>
  </w:num>
  <w:num w:numId="2" w16cid:durableId="1188449754">
    <w:abstractNumId w:val="28"/>
  </w:num>
  <w:num w:numId="3" w16cid:durableId="1837838498">
    <w:abstractNumId w:val="6"/>
  </w:num>
  <w:num w:numId="4" w16cid:durableId="1977566131">
    <w:abstractNumId w:val="7"/>
  </w:num>
  <w:num w:numId="5" w16cid:durableId="1911698097">
    <w:abstractNumId w:val="21"/>
  </w:num>
  <w:num w:numId="6" w16cid:durableId="1681543166">
    <w:abstractNumId w:val="33"/>
  </w:num>
  <w:num w:numId="7" w16cid:durableId="2110732581">
    <w:abstractNumId w:val="13"/>
  </w:num>
  <w:num w:numId="8" w16cid:durableId="150567517">
    <w:abstractNumId w:val="23"/>
  </w:num>
  <w:num w:numId="9" w16cid:durableId="118693893">
    <w:abstractNumId w:val="14"/>
  </w:num>
  <w:num w:numId="10" w16cid:durableId="356666159">
    <w:abstractNumId w:val="2"/>
  </w:num>
  <w:num w:numId="11" w16cid:durableId="13655170">
    <w:abstractNumId w:val="32"/>
  </w:num>
  <w:num w:numId="12" w16cid:durableId="937830974">
    <w:abstractNumId w:val="37"/>
  </w:num>
  <w:num w:numId="13" w16cid:durableId="1311669074">
    <w:abstractNumId w:val="31"/>
  </w:num>
  <w:num w:numId="14" w16cid:durableId="1241059685">
    <w:abstractNumId w:val="30"/>
  </w:num>
  <w:num w:numId="15" w16cid:durableId="2138598035">
    <w:abstractNumId w:val="3"/>
  </w:num>
  <w:num w:numId="16" w16cid:durableId="1676764879">
    <w:abstractNumId w:val="38"/>
  </w:num>
  <w:num w:numId="17" w16cid:durableId="1758669902">
    <w:abstractNumId w:val="27"/>
  </w:num>
  <w:num w:numId="18" w16cid:durableId="1935357735">
    <w:abstractNumId w:val="10"/>
  </w:num>
  <w:num w:numId="19" w16cid:durableId="382631689">
    <w:abstractNumId w:val="36"/>
  </w:num>
  <w:num w:numId="20" w16cid:durableId="1163424478">
    <w:abstractNumId w:val="25"/>
  </w:num>
  <w:num w:numId="21" w16cid:durableId="156192729">
    <w:abstractNumId w:val="22"/>
  </w:num>
  <w:num w:numId="22" w16cid:durableId="1930310314">
    <w:abstractNumId w:val="35"/>
  </w:num>
  <w:num w:numId="23" w16cid:durableId="922880505">
    <w:abstractNumId w:val="24"/>
  </w:num>
  <w:num w:numId="24" w16cid:durableId="661615937">
    <w:abstractNumId w:val="16"/>
  </w:num>
  <w:num w:numId="25" w16cid:durableId="1329015147">
    <w:abstractNumId w:val="4"/>
  </w:num>
  <w:num w:numId="26" w16cid:durableId="214778267">
    <w:abstractNumId w:val="11"/>
  </w:num>
  <w:num w:numId="27" w16cid:durableId="1755466984">
    <w:abstractNumId w:val="15"/>
  </w:num>
  <w:num w:numId="28" w16cid:durableId="1748458345">
    <w:abstractNumId w:val="9"/>
  </w:num>
  <w:num w:numId="29" w16cid:durableId="1067455065">
    <w:abstractNumId w:val="5"/>
  </w:num>
  <w:num w:numId="30" w16cid:durableId="1740667139">
    <w:abstractNumId w:val="20"/>
  </w:num>
  <w:num w:numId="31" w16cid:durableId="797454649">
    <w:abstractNumId w:val="0"/>
  </w:num>
  <w:num w:numId="32" w16cid:durableId="1884562016">
    <w:abstractNumId w:val="19"/>
  </w:num>
  <w:num w:numId="33" w16cid:durableId="1353923656">
    <w:abstractNumId w:val="26"/>
  </w:num>
  <w:num w:numId="34" w16cid:durableId="1603030716">
    <w:abstractNumId w:val="34"/>
  </w:num>
  <w:num w:numId="35" w16cid:durableId="924146604">
    <w:abstractNumId w:val="17"/>
  </w:num>
  <w:num w:numId="36" w16cid:durableId="229079717">
    <w:abstractNumId w:val="29"/>
  </w:num>
  <w:num w:numId="37" w16cid:durableId="204800726">
    <w:abstractNumId w:val="18"/>
  </w:num>
  <w:num w:numId="38" w16cid:durableId="1066494635">
    <w:abstractNumId w:val="1"/>
  </w:num>
  <w:num w:numId="39" w16cid:durableId="48320699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CD010F"/>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 w:type="character" w:customStyle="1" w:styleId="normaltextrun">
    <w:name w:val="normaltextrun"/>
    <w:basedOn w:val="DefaultParagraphFont"/>
    <w:rsid w:val="00CD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th.org/uploads/assets/24572f2b-b65f-4a4b-b9e4d0f526dbac55/G181-Key-assurance-indicators-for-pathology-servic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9F464-91B5-4640-8604-589C3727768D}">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fcbb744a-7f82-41b7-a756-bec761ac2a3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8</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 Reader</cp:lastModifiedBy>
  <cp:revision>2</cp:revision>
  <cp:lastPrinted>2011-10-27T15:55:00Z</cp:lastPrinted>
  <dcterms:created xsi:type="dcterms:W3CDTF">2023-11-29T15:26:00Z</dcterms:created>
  <dcterms:modified xsi:type="dcterms:W3CDTF">2023-11-29T15:26:00Z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