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C6A5" w14:textId="3D548B4F" w:rsidR="00D445BA" w:rsidRPr="00077B16" w:rsidRDefault="00BD4DC1" w:rsidP="00BD4DC1">
      <w:pPr>
        <w:pStyle w:val="Heading2"/>
      </w:pPr>
      <w:r w:rsidRPr="00BD4DC1">
        <w:t xml:space="preserve">Haematology </w:t>
      </w:r>
      <w:r w:rsidR="00D445BA" w:rsidRPr="00077B16">
        <w:t>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7891"/>
      </w:tblGrid>
      <w:tr w:rsidR="009F45A0" w:rsidRPr="00077B16" w14:paraId="12ECF8AC" w14:textId="77777777" w:rsidTr="00BD4DC1">
        <w:trPr>
          <w:trHeight w:val="78"/>
        </w:trPr>
        <w:tc>
          <w:tcPr>
            <w:tcW w:w="1737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891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BD4DC1">
        <w:trPr>
          <w:trHeight w:val="469"/>
        </w:trPr>
        <w:tc>
          <w:tcPr>
            <w:tcW w:w="1737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891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BD4DC1">
        <w:trPr>
          <w:trHeight w:val="58"/>
        </w:trPr>
        <w:tc>
          <w:tcPr>
            <w:tcW w:w="1737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7891" w:type="dxa"/>
          </w:tcPr>
          <w:p w14:paraId="645C2A8E" w14:textId="50FB7DF5" w:rsidR="009F45A0" w:rsidRPr="009349D7" w:rsidRDefault="00BD4DC1" w:rsidP="00BD4DC1">
            <w:r w:rsidRPr="00BD4DC1">
              <w:t>Haematology</w:t>
            </w:r>
          </w:p>
        </w:tc>
      </w:tr>
      <w:tr w:rsidR="00BD4DC1" w:rsidRPr="00077B16" w14:paraId="13EFC558" w14:textId="77777777" w:rsidTr="00BD4DC1">
        <w:trPr>
          <w:trHeight w:val="469"/>
        </w:trPr>
        <w:tc>
          <w:tcPr>
            <w:tcW w:w="1737" w:type="dxa"/>
          </w:tcPr>
          <w:p w14:paraId="3A56FE41" w14:textId="77777777" w:rsidR="00BD4DC1" w:rsidRPr="009349D7" w:rsidRDefault="00BD4DC1" w:rsidP="00BD4DC1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891" w:type="dxa"/>
          </w:tcPr>
          <w:p w14:paraId="557F6919" w14:textId="50AE12C3" w:rsidR="00BD4DC1" w:rsidRPr="00BD4DC1" w:rsidRDefault="00BD4DC1" w:rsidP="00BD4DC1">
            <w:r w:rsidRPr="00BD4DC1">
              <w:t>An audit of compliance with the British Society for Haematology guideline for the diagnosis and management of mantle cell lymphoma</w:t>
            </w:r>
          </w:p>
        </w:tc>
      </w:tr>
      <w:tr w:rsidR="00BD4DC1" w:rsidRPr="00077B16" w14:paraId="2B750D7A" w14:textId="77777777" w:rsidTr="00BD4DC1">
        <w:trPr>
          <w:trHeight w:val="469"/>
        </w:trPr>
        <w:tc>
          <w:tcPr>
            <w:tcW w:w="1737" w:type="dxa"/>
          </w:tcPr>
          <w:p w14:paraId="70726B9A" w14:textId="77777777" w:rsidR="00BD4DC1" w:rsidRPr="009349D7" w:rsidRDefault="00BD4DC1" w:rsidP="00BD4DC1">
            <w:pPr>
              <w:pStyle w:val="Rowheading"/>
            </w:pPr>
            <w:r w:rsidRPr="009349D7">
              <w:t>Background</w:t>
            </w:r>
          </w:p>
        </w:tc>
        <w:tc>
          <w:tcPr>
            <w:tcW w:w="7891" w:type="dxa"/>
          </w:tcPr>
          <w:p w14:paraId="63BED818" w14:textId="70D47014" w:rsidR="00BD4DC1" w:rsidRPr="009349D7" w:rsidRDefault="00BD4DC1" w:rsidP="00BD4DC1">
            <w:r w:rsidRPr="009B018D">
              <w:t xml:space="preserve">The </w:t>
            </w:r>
            <w:r w:rsidRPr="005C104C">
              <w:t xml:space="preserve">British Society for Haematology </w:t>
            </w:r>
            <w:r>
              <w:t>(</w:t>
            </w:r>
            <w:r w:rsidRPr="009B018D">
              <w:t>BSH</w:t>
            </w:r>
            <w:r>
              <w:t>)</w:t>
            </w:r>
            <w:r w:rsidRPr="009B018D">
              <w:t xml:space="preserve"> has published guidance on the diagnosis and management of </w:t>
            </w:r>
            <w:r w:rsidRPr="005C104C">
              <w:t xml:space="preserve">mantle cell lymphoma </w:t>
            </w:r>
            <w:r>
              <w:t>(</w:t>
            </w:r>
            <w:r w:rsidRPr="009B018D">
              <w:t>MCL</w:t>
            </w:r>
            <w:r>
              <w:t>)</w:t>
            </w:r>
            <w:r w:rsidRPr="009B018D">
              <w:t>.</w:t>
            </w:r>
            <w:r w:rsidRPr="00BD4DC1">
              <w:rPr>
                <w:vertAlign w:val="superscript"/>
              </w:rPr>
              <w:t>1</w:t>
            </w:r>
            <w:r w:rsidRPr="009B018D">
              <w:t xml:space="preserve"> This audit will review compliance with some of the main recommendations made.</w:t>
            </w:r>
          </w:p>
        </w:tc>
      </w:tr>
      <w:tr w:rsidR="00BD4DC1" w:rsidRPr="00077B16" w14:paraId="0F7C86E3" w14:textId="77777777" w:rsidTr="00BD4DC1">
        <w:trPr>
          <w:trHeight w:val="469"/>
        </w:trPr>
        <w:tc>
          <w:tcPr>
            <w:tcW w:w="1737" w:type="dxa"/>
          </w:tcPr>
          <w:p w14:paraId="4492C55B" w14:textId="4AD3B6C3" w:rsidR="00BD4DC1" w:rsidRPr="009349D7" w:rsidRDefault="00BD4DC1" w:rsidP="00BD4DC1">
            <w:pPr>
              <w:pStyle w:val="Rowheading"/>
            </w:pPr>
            <w:r w:rsidRPr="009349D7">
              <w:t xml:space="preserve">Aim </w:t>
            </w:r>
            <w:r>
              <w:t>and</w:t>
            </w:r>
            <w:r w:rsidRPr="009349D7">
              <w:t xml:space="preserve"> objectives</w:t>
            </w:r>
          </w:p>
        </w:tc>
        <w:tc>
          <w:tcPr>
            <w:tcW w:w="7891" w:type="dxa"/>
          </w:tcPr>
          <w:p w14:paraId="7C9570A1" w14:textId="4BF14432" w:rsidR="00BD4DC1" w:rsidRPr="009349D7" w:rsidRDefault="00BD4DC1" w:rsidP="00BD4DC1">
            <w:r w:rsidRPr="009349D7">
              <w:t xml:space="preserve">This audit template is a tool to </w:t>
            </w:r>
            <w:r>
              <w:t>review</w:t>
            </w:r>
            <w:r w:rsidRPr="009349D7">
              <w:t xml:space="preserve"> whether:</w:t>
            </w:r>
          </w:p>
          <w:p w14:paraId="599DFD84" w14:textId="519E4F1A" w:rsidR="00BD4DC1" w:rsidRPr="009B018D" w:rsidRDefault="00BD4DC1" w:rsidP="00BD4DC1">
            <w:pPr>
              <w:pStyle w:val="ListBullet"/>
            </w:pPr>
            <w:r>
              <w:t>i</w:t>
            </w:r>
            <w:r w:rsidRPr="009B018D">
              <w:t xml:space="preserve">nvestigations are performed appropriately in the diagnosis of </w:t>
            </w:r>
            <w:proofErr w:type="gramStart"/>
            <w:r w:rsidRPr="009B018D">
              <w:t>MCL</w:t>
            </w:r>
            <w:proofErr w:type="gramEnd"/>
          </w:p>
          <w:p w14:paraId="4DAA0B33" w14:textId="674CE190" w:rsidR="00BD4DC1" w:rsidRPr="00781C28" w:rsidRDefault="00BD4DC1" w:rsidP="00BD4DC1">
            <w:pPr>
              <w:pStyle w:val="ListParagraph"/>
            </w:pPr>
            <w:r>
              <w:t>p</w:t>
            </w:r>
            <w:r w:rsidRPr="009B018D">
              <w:t>atients with MCL are being managed appropriately</w:t>
            </w:r>
            <w:r>
              <w:t>.</w:t>
            </w:r>
          </w:p>
        </w:tc>
      </w:tr>
      <w:tr w:rsidR="00BD4DC1" w:rsidRPr="00077B16" w14:paraId="4FF25260" w14:textId="77777777" w:rsidTr="00BD4DC1">
        <w:trPr>
          <w:trHeight w:val="119"/>
        </w:trPr>
        <w:tc>
          <w:tcPr>
            <w:tcW w:w="1737" w:type="dxa"/>
          </w:tcPr>
          <w:p w14:paraId="374F6066" w14:textId="350BC4D4" w:rsidR="00BD4DC1" w:rsidRPr="009349D7" w:rsidRDefault="00BD4DC1" w:rsidP="00BD4DC1">
            <w:pPr>
              <w:pStyle w:val="Rowheading"/>
            </w:pPr>
            <w:r w:rsidRPr="009349D7">
              <w:t xml:space="preserve">Standards </w:t>
            </w:r>
            <w:r>
              <w:t>and</w:t>
            </w:r>
            <w:r w:rsidRPr="009349D7">
              <w:t xml:space="preserve"> criteria</w:t>
            </w:r>
          </w:p>
        </w:tc>
        <w:tc>
          <w:tcPr>
            <w:tcW w:w="7891" w:type="dxa"/>
          </w:tcPr>
          <w:p w14:paraId="25E807A7" w14:textId="77777777" w:rsidR="00BD4DC1" w:rsidRDefault="00BD4DC1" w:rsidP="00BD4DC1">
            <w:r w:rsidRPr="009349D7">
              <w:rPr>
                <w:b/>
              </w:rPr>
              <w:t xml:space="preserve">Criteria range: </w:t>
            </w:r>
            <w:r w:rsidRPr="00BD4DC1">
              <w:t>100%, or if not achieved, there is documentation in the case notes that explains the variance.</w:t>
            </w:r>
          </w:p>
          <w:p w14:paraId="517A4BE3" w14:textId="77777777" w:rsidR="00BD4DC1" w:rsidRPr="00C911D6" w:rsidRDefault="00BD4DC1" w:rsidP="00BD4DC1">
            <w:pPr>
              <w:rPr>
                <w:b/>
                <w:bCs/>
              </w:rPr>
            </w:pPr>
            <w:r w:rsidRPr="00C911D6">
              <w:rPr>
                <w:b/>
                <w:bCs/>
              </w:rPr>
              <w:t>Prognostic models</w:t>
            </w:r>
          </w:p>
          <w:p w14:paraId="5BBE2279" w14:textId="43419C3E" w:rsidR="00BD4DC1" w:rsidRPr="009B018D" w:rsidRDefault="00BD4DC1" w:rsidP="00BD4DC1">
            <w:pPr>
              <w:pStyle w:val="ListParagraph"/>
              <w:numPr>
                <w:ilvl w:val="0"/>
                <w:numId w:val="34"/>
              </w:numPr>
            </w:pPr>
            <w:r w:rsidRPr="009B018D">
              <w:t>The presence of Ki-67% (or equivalent) should be reported in all MCL biopsies wherever possible and reported as &lt;30% versus ≥30% as a minimum</w:t>
            </w:r>
            <w:r>
              <w:t>.</w:t>
            </w:r>
          </w:p>
          <w:p w14:paraId="283D6216" w14:textId="4713D6CE" w:rsidR="00BD4DC1" w:rsidRPr="009B018D" w:rsidRDefault="00BD4DC1" w:rsidP="00BD4DC1">
            <w:pPr>
              <w:pStyle w:val="ListParagraph"/>
              <w:numPr>
                <w:ilvl w:val="0"/>
                <w:numId w:val="34"/>
              </w:numPr>
            </w:pPr>
            <w:r w:rsidRPr="009B018D">
              <w:t xml:space="preserve">All patients should </w:t>
            </w:r>
            <w:r w:rsidRPr="00D0186C">
              <w:t xml:space="preserve">undergo </w:t>
            </w:r>
            <w:r w:rsidRPr="002A4A01">
              <w:rPr>
                <w:i/>
                <w:iCs/>
              </w:rPr>
              <w:t>TP53</w:t>
            </w:r>
            <w:r w:rsidRPr="00D0186C">
              <w:t xml:space="preserve"> mutational </w:t>
            </w:r>
            <w:r w:rsidRPr="009B018D">
              <w:t>analysis at diagnosis (in preference to fluorescence in situ hybridisation</w:t>
            </w:r>
            <w:r w:rsidRPr="009B018D" w:rsidDel="00F9298D">
              <w:t xml:space="preserve"> </w:t>
            </w:r>
            <w:r w:rsidRPr="009B018D">
              <w:t xml:space="preserve">[FISH] analysis for </w:t>
            </w:r>
            <w:r w:rsidRPr="009B018D">
              <w:br/>
              <w:t>17p deletions)</w:t>
            </w:r>
            <w:r>
              <w:t>.</w:t>
            </w:r>
          </w:p>
          <w:p w14:paraId="55E8AF92" w14:textId="77777777" w:rsidR="00BD4DC1" w:rsidRPr="00C911D6" w:rsidRDefault="00BD4DC1" w:rsidP="00BD4DC1">
            <w:pPr>
              <w:rPr>
                <w:b/>
                <w:bCs/>
              </w:rPr>
            </w:pPr>
            <w:r w:rsidRPr="00C911D6">
              <w:rPr>
                <w:b/>
                <w:bCs/>
              </w:rPr>
              <w:lastRenderedPageBreak/>
              <w:t>Front-line autologous stem cell transplantation (ASCT)-fit patients</w:t>
            </w:r>
          </w:p>
          <w:p w14:paraId="5AA45C1D" w14:textId="5F248655" w:rsidR="00BD4DC1" w:rsidRPr="009B018D" w:rsidRDefault="00BD4DC1" w:rsidP="00BD4DC1">
            <w:pPr>
              <w:pStyle w:val="ListParagraph"/>
              <w:numPr>
                <w:ilvl w:val="0"/>
                <w:numId w:val="35"/>
              </w:numPr>
            </w:pPr>
            <w:r w:rsidRPr="009B018D">
              <w:t>Younger, fit patients should receive a first-line induction regimen containing rituximab and high-dose cytarabine</w:t>
            </w:r>
            <w:r>
              <w:t>.</w:t>
            </w:r>
          </w:p>
          <w:p w14:paraId="6E6EA9D6" w14:textId="1742617E" w:rsidR="00BD4DC1" w:rsidRPr="009B018D" w:rsidRDefault="00BD4DC1" w:rsidP="00BD4DC1">
            <w:pPr>
              <w:pStyle w:val="ListParagraph"/>
              <w:numPr>
                <w:ilvl w:val="0"/>
                <w:numId w:val="35"/>
              </w:numPr>
            </w:pPr>
            <w:r w:rsidRPr="009B018D">
              <w:t>Patients should be offered maintenance rituximab (subcutaneous or intravenous) post-ASCT</w:t>
            </w:r>
            <w:r>
              <w:t>.</w:t>
            </w:r>
          </w:p>
          <w:p w14:paraId="267666C3" w14:textId="4C7F2F5B" w:rsidR="00BD4DC1" w:rsidRPr="00C911D6" w:rsidRDefault="00BD4DC1" w:rsidP="00BD4DC1">
            <w:pPr>
              <w:rPr>
                <w:b/>
                <w:bCs/>
              </w:rPr>
            </w:pPr>
            <w:r w:rsidRPr="00C911D6">
              <w:rPr>
                <w:b/>
                <w:bCs/>
              </w:rPr>
              <w:t>First-line treatment of MCL-</w:t>
            </w:r>
            <w:r>
              <w:rPr>
                <w:b/>
                <w:bCs/>
              </w:rPr>
              <w:t>u</w:t>
            </w:r>
            <w:r w:rsidRPr="00C911D6">
              <w:rPr>
                <w:b/>
                <w:bCs/>
              </w:rPr>
              <w:t xml:space="preserve">nfit for </w:t>
            </w:r>
            <w:proofErr w:type="gramStart"/>
            <w:r w:rsidRPr="00C911D6">
              <w:rPr>
                <w:b/>
                <w:bCs/>
              </w:rPr>
              <w:t>transplant</w:t>
            </w:r>
            <w:proofErr w:type="gramEnd"/>
            <w:r w:rsidRPr="00C911D6">
              <w:rPr>
                <w:b/>
                <w:bCs/>
              </w:rPr>
              <w:t xml:space="preserve"> </w:t>
            </w:r>
          </w:p>
          <w:p w14:paraId="27510F99" w14:textId="6B577E9C" w:rsidR="00BD4DC1" w:rsidRPr="009B018D" w:rsidRDefault="00BD4DC1" w:rsidP="00BD4DC1">
            <w:pPr>
              <w:pStyle w:val="ListParagraph"/>
              <w:numPr>
                <w:ilvl w:val="0"/>
                <w:numId w:val="36"/>
              </w:numPr>
            </w:pPr>
            <w:r w:rsidRPr="009B018D">
              <w:t xml:space="preserve">In patients unsuitable for high dose cytarabine-based induction and ASCT, </w:t>
            </w:r>
            <w:r w:rsidRPr="002A4A01">
              <w:rPr>
                <w:shd w:val="clear" w:color="auto" w:fill="FFFFFF"/>
              </w:rPr>
              <w:t>rituximab</w:t>
            </w:r>
            <w:r w:rsidRPr="009B018D">
              <w:t xml:space="preserve"> (R)-chemotherapy combinations should be offered as current standard of care</w:t>
            </w:r>
            <w:r>
              <w:t>.</w:t>
            </w:r>
          </w:p>
          <w:p w14:paraId="6BD0225E" w14:textId="16A10F6D" w:rsidR="00BD4DC1" w:rsidRPr="009B018D" w:rsidRDefault="00BD4DC1" w:rsidP="00BD4DC1">
            <w:pPr>
              <w:pStyle w:val="ListParagraph"/>
              <w:numPr>
                <w:ilvl w:val="0"/>
                <w:numId w:val="36"/>
              </w:numPr>
            </w:pPr>
            <w:r w:rsidRPr="009B018D">
              <w:t xml:space="preserve">Previously untreated patients unsuitable for ASCT should be offered </w:t>
            </w:r>
            <w:r w:rsidRPr="009B018D">
              <w:br/>
              <w:t>R</w:t>
            </w:r>
            <w:r w:rsidRPr="009B018D">
              <w:noBreakHyphen/>
              <w:t>cyclophosphamide, doxorubicin, vincristine, prednisolone (</w:t>
            </w:r>
            <w:r>
              <w:t>R-</w:t>
            </w:r>
            <w:r w:rsidRPr="009B018D">
              <w:t>CHOP); R-</w:t>
            </w:r>
            <w:proofErr w:type="spellStart"/>
            <w:r w:rsidRPr="009B018D">
              <w:t>bendamustine</w:t>
            </w:r>
            <w:proofErr w:type="spellEnd"/>
            <w:r w:rsidRPr="009B018D">
              <w:t xml:space="preserve">; rituximab, </w:t>
            </w:r>
            <w:proofErr w:type="spellStart"/>
            <w:r w:rsidRPr="009B018D">
              <w:t>bendamustine</w:t>
            </w:r>
            <w:proofErr w:type="spellEnd"/>
            <w:r w:rsidRPr="009B018D">
              <w:t xml:space="preserve"> and </w:t>
            </w:r>
            <w:proofErr w:type="spellStart"/>
            <w:r w:rsidRPr="009B018D">
              <w:t>cytarabinecytarabine</w:t>
            </w:r>
            <w:proofErr w:type="spellEnd"/>
            <w:r w:rsidRPr="009B018D">
              <w:t xml:space="preserve"> (</w:t>
            </w:r>
            <w:r>
              <w:t>R-</w:t>
            </w:r>
            <w:r w:rsidRPr="009B018D">
              <w:t xml:space="preserve">BAC); and bortezomib, rituximab, cyclophosphamide, </w:t>
            </w:r>
            <w:proofErr w:type="gramStart"/>
            <w:r w:rsidRPr="009B018D">
              <w:t>doxorubicin</w:t>
            </w:r>
            <w:proofErr w:type="gramEnd"/>
            <w:r w:rsidRPr="009B018D">
              <w:t xml:space="preserve"> and prednisone (VR-CAP)</w:t>
            </w:r>
            <w:r>
              <w:t>.</w:t>
            </w:r>
          </w:p>
          <w:p w14:paraId="2AC35C6C" w14:textId="3BD979AD" w:rsidR="00BD4DC1" w:rsidRPr="009B018D" w:rsidRDefault="00BD4DC1" w:rsidP="00BD4DC1">
            <w:pPr>
              <w:pStyle w:val="ListParagraph"/>
              <w:numPr>
                <w:ilvl w:val="0"/>
                <w:numId w:val="36"/>
              </w:numPr>
            </w:pPr>
            <w:r w:rsidRPr="009B018D">
              <w:t>Patients should be offered rituximab maintenance post-R-CHOP induction</w:t>
            </w:r>
            <w:r>
              <w:t>.</w:t>
            </w:r>
          </w:p>
          <w:p w14:paraId="23BD60D8" w14:textId="77777777" w:rsidR="00BD4DC1" w:rsidRPr="00C911D6" w:rsidRDefault="00BD4DC1" w:rsidP="00BD4DC1">
            <w:pPr>
              <w:rPr>
                <w:b/>
                <w:bCs/>
              </w:rPr>
            </w:pPr>
            <w:r w:rsidRPr="00C911D6">
              <w:rPr>
                <w:b/>
                <w:bCs/>
              </w:rPr>
              <w:t>Management at first relapse</w:t>
            </w:r>
          </w:p>
          <w:p w14:paraId="33390E7E" w14:textId="211DBAB7" w:rsidR="00BD4DC1" w:rsidRPr="009B018D" w:rsidRDefault="00BD4DC1" w:rsidP="00BD4DC1">
            <w:pPr>
              <w:pStyle w:val="ListParagraph"/>
              <w:numPr>
                <w:ilvl w:val="0"/>
                <w:numId w:val="37"/>
              </w:numPr>
            </w:pPr>
            <w:r w:rsidRPr="009B018D">
              <w:t>Patients at first relapse should be offered ibrutinib monotherapy as an approved and reimbursed standard of care option in the United Kingdom</w:t>
            </w:r>
            <w:r>
              <w:t>.</w:t>
            </w:r>
          </w:p>
          <w:p w14:paraId="2EEDD150" w14:textId="77777777" w:rsidR="00BD4DC1" w:rsidRPr="00C911D6" w:rsidRDefault="00BD4DC1" w:rsidP="00BD4DC1">
            <w:pPr>
              <w:rPr>
                <w:b/>
                <w:bCs/>
              </w:rPr>
            </w:pPr>
            <w:r w:rsidRPr="00C911D6">
              <w:rPr>
                <w:b/>
                <w:bCs/>
              </w:rPr>
              <w:t>Chimeric antigen receptor (CAR)-T cell therapy</w:t>
            </w:r>
          </w:p>
          <w:p w14:paraId="7483C639" w14:textId="0C90C24B" w:rsidR="00BD4DC1" w:rsidRPr="009B018D" w:rsidRDefault="00BD4DC1" w:rsidP="00BD4DC1">
            <w:pPr>
              <w:pStyle w:val="ListParagraph"/>
              <w:numPr>
                <w:ilvl w:val="0"/>
                <w:numId w:val="38"/>
              </w:numPr>
            </w:pPr>
            <w:r w:rsidRPr="009B018D">
              <w:t xml:space="preserve">Potential candidates for future CAR-T cell treatment should be risk assessed at first relapse prior to initiation of a </w:t>
            </w:r>
            <w:r>
              <w:t>B</w:t>
            </w:r>
            <w:r w:rsidRPr="009B018D">
              <w:t xml:space="preserve">ruton tyrosine kinase inhibitor (BTKi). All high-risk cases should be discussed with a CAR-T cell centre. High risk includes: </w:t>
            </w:r>
            <w:proofErr w:type="spellStart"/>
            <w:r w:rsidRPr="009B018D">
              <w:t>blastoid</w:t>
            </w:r>
            <w:proofErr w:type="spellEnd"/>
            <w:r w:rsidRPr="009B018D">
              <w:t xml:space="preserve">/pleomorphic morphology, Ki67% &gt;50, </w:t>
            </w:r>
            <w:r w:rsidRPr="002A4A01">
              <w:rPr>
                <w:i/>
                <w:iCs/>
              </w:rPr>
              <w:t>TP53</w:t>
            </w:r>
            <w:r w:rsidRPr="009B018D">
              <w:t xml:space="preserve"> mutation, high</w:t>
            </w:r>
            <w:r>
              <w:noBreakHyphen/>
            </w:r>
            <w:r w:rsidRPr="009B018D">
              <w:t>risk simplified M</w:t>
            </w:r>
            <w:r>
              <w:t>CL</w:t>
            </w:r>
            <w:r w:rsidRPr="009B018D">
              <w:t xml:space="preserve"> International Prognostic Index (</w:t>
            </w:r>
            <w:proofErr w:type="spellStart"/>
            <w:r w:rsidRPr="009B018D">
              <w:t>sMIPI</w:t>
            </w:r>
            <w:proofErr w:type="spellEnd"/>
            <w:r w:rsidRPr="009B018D">
              <w:t>), bulk &gt;5 cm or progression of disease within 24 months (POD24)</w:t>
            </w:r>
            <w:r>
              <w:t>.</w:t>
            </w:r>
          </w:p>
          <w:p w14:paraId="44E2E830" w14:textId="7E586294" w:rsidR="00BD4DC1" w:rsidRPr="009349D7" w:rsidRDefault="00BD4DC1" w:rsidP="00BD4DC1">
            <w:pPr>
              <w:pStyle w:val="ListParagraph"/>
              <w:numPr>
                <w:ilvl w:val="0"/>
                <w:numId w:val="38"/>
              </w:numPr>
            </w:pPr>
            <w:r w:rsidRPr="009B018D">
              <w:t>High-risk patients starting ibrutinib should have computed tomography (CT) or positron emission tomography (PET)-CT re-staging within 8</w:t>
            </w:r>
            <w:r>
              <w:t>–</w:t>
            </w:r>
            <w:r w:rsidRPr="009B018D">
              <w:t>12 weeks (earlier if concerned). Lack of early response with stable or progressive disease on ibrutinib should prompt an urgent referral to a CAR-T cell centre</w:t>
            </w:r>
          </w:p>
        </w:tc>
      </w:tr>
      <w:tr w:rsidR="00BD4DC1" w:rsidRPr="00077B16" w14:paraId="14094681" w14:textId="77777777" w:rsidTr="00BD4DC1">
        <w:trPr>
          <w:cantSplit/>
          <w:trHeight w:val="469"/>
        </w:trPr>
        <w:tc>
          <w:tcPr>
            <w:tcW w:w="1737" w:type="dxa"/>
          </w:tcPr>
          <w:p w14:paraId="1E4F1E05" w14:textId="77777777" w:rsidR="00BD4DC1" w:rsidRPr="009349D7" w:rsidRDefault="00BD4DC1" w:rsidP="00BD4DC1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BD4DC1" w:rsidRPr="009349D7" w:rsidRDefault="00BD4DC1" w:rsidP="00BD4DC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891" w:type="dxa"/>
          </w:tcPr>
          <w:p w14:paraId="06E9918F" w14:textId="541AE4C5" w:rsidR="00BD4DC1" w:rsidRPr="009349D7" w:rsidRDefault="00BD4DC1" w:rsidP="00BD4DC1">
            <w:pPr>
              <w:rPr>
                <w:b/>
              </w:rPr>
            </w:pPr>
            <w:r w:rsidRPr="009349D7">
              <w:rPr>
                <w:b/>
              </w:rPr>
              <w:t xml:space="preserve">Sample selection: </w:t>
            </w:r>
          </w:p>
          <w:p w14:paraId="296F5CC0" w14:textId="287A797C" w:rsidR="00BD4DC1" w:rsidRPr="00BD4DC1" w:rsidRDefault="00BD4DC1" w:rsidP="00BD4DC1">
            <w:pPr>
              <w:rPr>
                <w:bCs/>
              </w:rPr>
            </w:pPr>
            <w:r w:rsidRPr="00BD4DC1">
              <w:rPr>
                <w:bCs/>
              </w:rPr>
              <w:t>All patients diagnosed with MCL in the preceding 12 months up to a maximum of 20 consecutive patients</w:t>
            </w:r>
            <w:r>
              <w:rPr>
                <w:bCs/>
              </w:rPr>
              <w:t>.</w:t>
            </w:r>
          </w:p>
          <w:p w14:paraId="2E47D027" w14:textId="50EB6478" w:rsidR="00BD4DC1" w:rsidRPr="009349D7" w:rsidRDefault="00BD4DC1" w:rsidP="00BD4DC1">
            <w:pPr>
              <w:rPr>
                <w:b/>
                <w:color w:val="000000"/>
              </w:rPr>
            </w:pPr>
            <w:r w:rsidRPr="009349D7">
              <w:rPr>
                <w:b/>
                <w:color w:val="000000"/>
              </w:rPr>
              <w:t>Data to be collected on proforma (see below).</w:t>
            </w:r>
          </w:p>
        </w:tc>
      </w:tr>
      <w:tr w:rsidR="00BD4DC1" w:rsidRPr="00077B16" w14:paraId="4EF29E2B" w14:textId="77777777" w:rsidTr="00BD4DC1">
        <w:trPr>
          <w:trHeight w:val="10479"/>
        </w:trPr>
        <w:tc>
          <w:tcPr>
            <w:tcW w:w="1737" w:type="dxa"/>
          </w:tcPr>
          <w:p w14:paraId="42E290A4" w14:textId="77777777" w:rsidR="00BD4DC1" w:rsidRPr="009349D7" w:rsidRDefault="00BD4DC1" w:rsidP="00BD4DC1">
            <w:pPr>
              <w:pStyle w:val="Rowheading"/>
            </w:pPr>
            <w:r w:rsidRPr="009349D7">
              <w:t>Results</w:t>
            </w:r>
          </w:p>
        </w:tc>
        <w:tc>
          <w:tcPr>
            <w:tcW w:w="7891" w:type="dxa"/>
          </w:tcPr>
          <w:p w14:paraId="08D3ABE3" w14:textId="77777777" w:rsidR="00BD4DC1" w:rsidRPr="009349D7" w:rsidRDefault="00BD4DC1" w:rsidP="00BD4DC1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BD4DC1" w:rsidRPr="009349D7" w:rsidRDefault="00BD4DC1" w:rsidP="00BD4DC1">
            <w:r w:rsidRPr="009349D7">
              <w:t>The results of this audit show the following compliance with the standards</w:t>
            </w:r>
            <w:r>
              <w:t>.</w:t>
            </w:r>
          </w:p>
          <w:tbl>
            <w:tblPr>
              <w:tblW w:w="76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77"/>
              <w:gridCol w:w="1127"/>
              <w:gridCol w:w="1410"/>
              <w:gridCol w:w="1634"/>
            </w:tblGrid>
            <w:tr w:rsidR="00BD4DC1" w:rsidRPr="009B018D" w14:paraId="342D7E05" w14:textId="77777777" w:rsidTr="00BD4DC1">
              <w:tc>
                <w:tcPr>
                  <w:tcW w:w="3477" w:type="dxa"/>
                </w:tcPr>
                <w:p w14:paraId="2B6CE1F9" w14:textId="77777777" w:rsidR="00BD4DC1" w:rsidRPr="00F8495E" w:rsidRDefault="00BD4DC1" w:rsidP="00BD4DC1">
                  <w:pPr>
                    <w:pStyle w:val="Tablecolumnheading"/>
                  </w:pPr>
                  <w:r w:rsidRPr="00F8495E">
                    <w:t>Investigation</w:t>
                  </w:r>
                </w:p>
              </w:tc>
              <w:tc>
                <w:tcPr>
                  <w:tcW w:w="1127" w:type="dxa"/>
                </w:tcPr>
                <w:p w14:paraId="0B25DAB6" w14:textId="77777777" w:rsidR="00BD4DC1" w:rsidRPr="00F8495E" w:rsidRDefault="00BD4DC1" w:rsidP="00BD4DC1">
                  <w:pPr>
                    <w:pStyle w:val="Tablecolumnheading"/>
                  </w:pPr>
                  <w:r w:rsidRPr="00F8495E">
                    <w:t>No. audited</w:t>
                  </w:r>
                </w:p>
              </w:tc>
              <w:tc>
                <w:tcPr>
                  <w:tcW w:w="1410" w:type="dxa"/>
                </w:tcPr>
                <w:p w14:paraId="46443602" w14:textId="77777777" w:rsidR="00BD4DC1" w:rsidRPr="00F8495E" w:rsidRDefault="00BD4DC1" w:rsidP="00BD4DC1">
                  <w:pPr>
                    <w:pStyle w:val="Tablecolumnheading"/>
                  </w:pPr>
                  <w:r w:rsidRPr="00F8495E">
                    <w:t>No. compliant</w:t>
                  </w:r>
                </w:p>
              </w:tc>
              <w:tc>
                <w:tcPr>
                  <w:tcW w:w="1634" w:type="dxa"/>
                </w:tcPr>
                <w:p w14:paraId="41D8C5EA" w14:textId="77777777" w:rsidR="00BD4DC1" w:rsidRPr="00F8495E" w:rsidRDefault="00BD4DC1" w:rsidP="00BD4DC1">
                  <w:pPr>
                    <w:pStyle w:val="Tablecolumnheading"/>
                  </w:pPr>
                  <w:r w:rsidRPr="00F8495E">
                    <w:t>% compliance</w:t>
                  </w:r>
                </w:p>
              </w:tc>
            </w:tr>
            <w:tr w:rsidR="00BD4DC1" w:rsidRPr="009B018D" w14:paraId="03DAFE16" w14:textId="77777777" w:rsidTr="00BD4DC1">
              <w:tc>
                <w:tcPr>
                  <w:tcW w:w="7648" w:type="dxa"/>
                  <w:gridSpan w:val="4"/>
                  <w:shd w:val="clear" w:color="auto" w:fill="D8D9D9"/>
                </w:tcPr>
                <w:p w14:paraId="504861C1" w14:textId="77777777" w:rsidR="00BD4DC1" w:rsidRPr="009B018D" w:rsidRDefault="00BD4DC1" w:rsidP="00BD4DC1">
                  <w:pPr>
                    <w:pStyle w:val="Tabletext"/>
                  </w:pPr>
                  <w:r w:rsidRPr="009B018D">
                    <w:t>Prognostic models</w:t>
                  </w:r>
                </w:p>
              </w:tc>
            </w:tr>
            <w:tr w:rsidR="00BD4DC1" w:rsidRPr="009B018D" w14:paraId="5C9C004A" w14:textId="77777777" w:rsidTr="00BD4DC1">
              <w:tc>
                <w:tcPr>
                  <w:tcW w:w="3477" w:type="dxa"/>
                </w:tcPr>
                <w:p w14:paraId="035244B9" w14:textId="77777777" w:rsidR="00BD4DC1" w:rsidRPr="009B018D" w:rsidRDefault="00BD4DC1" w:rsidP="00BD4DC1">
                  <w:pPr>
                    <w:pStyle w:val="Tabletext"/>
                  </w:pPr>
                  <w:r w:rsidRPr="009B018D">
                    <w:t>The presence of Ki-67% (or equivalent) was reported in all MCL biopsies wherever possible and reported as &lt;30% versus ≥30% as a minimum</w:t>
                  </w:r>
                </w:p>
              </w:tc>
              <w:tc>
                <w:tcPr>
                  <w:tcW w:w="1127" w:type="dxa"/>
                </w:tcPr>
                <w:p w14:paraId="06231F90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410" w:type="dxa"/>
                </w:tcPr>
                <w:p w14:paraId="0C7E8D31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634" w:type="dxa"/>
                </w:tcPr>
                <w:p w14:paraId="6DFB4BE8" w14:textId="77777777" w:rsidR="00BD4DC1" w:rsidRPr="009B018D" w:rsidRDefault="00BD4DC1" w:rsidP="00BD4DC1">
                  <w:pPr>
                    <w:pStyle w:val="Tabletext"/>
                  </w:pPr>
                </w:p>
              </w:tc>
            </w:tr>
            <w:tr w:rsidR="00BD4DC1" w:rsidRPr="009B018D" w14:paraId="40104D34" w14:textId="77777777" w:rsidTr="00BD4DC1">
              <w:tc>
                <w:tcPr>
                  <w:tcW w:w="3477" w:type="dxa"/>
                </w:tcPr>
                <w:p w14:paraId="67C3F750" w14:textId="77777777" w:rsidR="00BD4DC1" w:rsidRPr="009B018D" w:rsidRDefault="00BD4DC1" w:rsidP="00BD4DC1">
                  <w:pPr>
                    <w:pStyle w:val="Tabletext"/>
                  </w:pPr>
                  <w:r w:rsidRPr="009B018D">
                    <w:t xml:space="preserve">Patients underwent </w:t>
                  </w:r>
                  <w:r w:rsidRPr="009B018D">
                    <w:rPr>
                      <w:i/>
                      <w:iCs/>
                    </w:rPr>
                    <w:t>TP53</w:t>
                  </w:r>
                  <w:r w:rsidRPr="009B018D">
                    <w:t xml:space="preserve"> mutational analysis at diagnosis</w:t>
                  </w:r>
                </w:p>
              </w:tc>
              <w:tc>
                <w:tcPr>
                  <w:tcW w:w="1127" w:type="dxa"/>
                </w:tcPr>
                <w:p w14:paraId="63F3AF7F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410" w:type="dxa"/>
                </w:tcPr>
                <w:p w14:paraId="16A08982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634" w:type="dxa"/>
                </w:tcPr>
                <w:p w14:paraId="27C8090F" w14:textId="77777777" w:rsidR="00BD4DC1" w:rsidRPr="009B018D" w:rsidRDefault="00BD4DC1" w:rsidP="00BD4DC1">
                  <w:pPr>
                    <w:pStyle w:val="Tabletext"/>
                  </w:pPr>
                </w:p>
              </w:tc>
            </w:tr>
            <w:tr w:rsidR="00BD4DC1" w:rsidRPr="009B018D" w14:paraId="4CCAE7E7" w14:textId="77777777" w:rsidTr="00BD4DC1">
              <w:tc>
                <w:tcPr>
                  <w:tcW w:w="7648" w:type="dxa"/>
                  <w:gridSpan w:val="4"/>
                  <w:shd w:val="clear" w:color="auto" w:fill="D9D9D9"/>
                </w:tcPr>
                <w:p w14:paraId="4C6EAC0A" w14:textId="77777777" w:rsidR="00BD4DC1" w:rsidRPr="009B018D" w:rsidRDefault="00BD4DC1" w:rsidP="00BD4DC1">
                  <w:pPr>
                    <w:pStyle w:val="Tabletext"/>
                  </w:pPr>
                  <w:r w:rsidRPr="009B018D">
                    <w:t>Front-line ASCT-fit patients</w:t>
                  </w:r>
                </w:p>
              </w:tc>
            </w:tr>
            <w:tr w:rsidR="00BD4DC1" w:rsidRPr="009B018D" w14:paraId="4D707CC0" w14:textId="77777777" w:rsidTr="00BD4DC1">
              <w:tc>
                <w:tcPr>
                  <w:tcW w:w="3477" w:type="dxa"/>
                </w:tcPr>
                <w:p w14:paraId="1F2F74D1" w14:textId="77777777" w:rsidR="00BD4DC1" w:rsidRPr="009B018D" w:rsidRDefault="00BD4DC1" w:rsidP="00BD4DC1">
                  <w:pPr>
                    <w:pStyle w:val="Tabletext"/>
                  </w:pPr>
                  <w:r w:rsidRPr="009B018D">
                    <w:t xml:space="preserve">Younger, fit patients received a first-line induction regimen containing rituximab and </w:t>
                  </w:r>
                  <w:r>
                    <w:br/>
                  </w:r>
                  <w:r w:rsidRPr="009B018D">
                    <w:t xml:space="preserve">high-dose cytarabine </w:t>
                  </w:r>
                </w:p>
              </w:tc>
              <w:tc>
                <w:tcPr>
                  <w:tcW w:w="1127" w:type="dxa"/>
                </w:tcPr>
                <w:p w14:paraId="7AA13EFA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410" w:type="dxa"/>
                </w:tcPr>
                <w:p w14:paraId="16FA00D9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634" w:type="dxa"/>
                </w:tcPr>
                <w:p w14:paraId="0FFF3A69" w14:textId="77777777" w:rsidR="00BD4DC1" w:rsidRPr="009B018D" w:rsidRDefault="00BD4DC1" w:rsidP="00BD4DC1">
                  <w:pPr>
                    <w:pStyle w:val="Tabletext"/>
                  </w:pPr>
                </w:p>
              </w:tc>
            </w:tr>
            <w:tr w:rsidR="00BD4DC1" w:rsidRPr="009B018D" w14:paraId="44CFBC49" w14:textId="77777777" w:rsidTr="00BD4DC1">
              <w:tc>
                <w:tcPr>
                  <w:tcW w:w="3477" w:type="dxa"/>
                </w:tcPr>
                <w:p w14:paraId="6F6EAAD6" w14:textId="77777777" w:rsidR="00BD4DC1" w:rsidRPr="009B018D" w:rsidRDefault="00BD4DC1" w:rsidP="00BD4DC1">
                  <w:pPr>
                    <w:pStyle w:val="Tabletext"/>
                  </w:pPr>
                  <w:r w:rsidRPr="009B018D">
                    <w:t>Patients were offered maintenance rituximab (subcutaneous or intravenous) post-ASCT</w:t>
                  </w:r>
                </w:p>
              </w:tc>
              <w:tc>
                <w:tcPr>
                  <w:tcW w:w="1127" w:type="dxa"/>
                </w:tcPr>
                <w:p w14:paraId="039CD2D3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410" w:type="dxa"/>
                </w:tcPr>
                <w:p w14:paraId="32509E87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634" w:type="dxa"/>
                </w:tcPr>
                <w:p w14:paraId="59DE6B85" w14:textId="77777777" w:rsidR="00BD4DC1" w:rsidRPr="009B018D" w:rsidRDefault="00BD4DC1" w:rsidP="00BD4DC1">
                  <w:pPr>
                    <w:pStyle w:val="Tabletext"/>
                  </w:pPr>
                </w:p>
              </w:tc>
            </w:tr>
            <w:tr w:rsidR="00BD4DC1" w:rsidRPr="009B018D" w14:paraId="23AFF873" w14:textId="77777777" w:rsidTr="00BD4DC1">
              <w:tc>
                <w:tcPr>
                  <w:tcW w:w="7648" w:type="dxa"/>
                  <w:gridSpan w:val="4"/>
                  <w:shd w:val="clear" w:color="auto" w:fill="D9D9D9"/>
                </w:tcPr>
                <w:p w14:paraId="707716BB" w14:textId="77777777" w:rsidR="00BD4DC1" w:rsidRPr="009B018D" w:rsidRDefault="00BD4DC1" w:rsidP="00BD4DC1">
                  <w:pPr>
                    <w:pStyle w:val="Tabletext"/>
                  </w:pPr>
                  <w:r w:rsidRPr="009B018D">
                    <w:t xml:space="preserve">First-line treatment of MCL-Unfit for transplant </w:t>
                  </w:r>
                </w:p>
              </w:tc>
            </w:tr>
            <w:tr w:rsidR="00BD4DC1" w:rsidRPr="009B018D" w14:paraId="45738F5F" w14:textId="77777777" w:rsidTr="00BD4DC1">
              <w:tc>
                <w:tcPr>
                  <w:tcW w:w="3477" w:type="dxa"/>
                </w:tcPr>
                <w:p w14:paraId="30DB18A3" w14:textId="77777777" w:rsidR="00BD4DC1" w:rsidRPr="009B018D" w:rsidDel="002F658C" w:rsidRDefault="00BD4DC1" w:rsidP="00BD4DC1">
                  <w:pPr>
                    <w:pStyle w:val="Tabletext"/>
                  </w:pPr>
                  <w:r w:rsidRPr="009B018D">
                    <w:t>Patients that were unsuitable for high dose cytarabine-based induction and ASCT, were offered R-chemotherapy combinations as current standard of care</w:t>
                  </w:r>
                </w:p>
              </w:tc>
              <w:tc>
                <w:tcPr>
                  <w:tcW w:w="1127" w:type="dxa"/>
                </w:tcPr>
                <w:p w14:paraId="604CFC48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410" w:type="dxa"/>
                </w:tcPr>
                <w:p w14:paraId="0477328C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634" w:type="dxa"/>
                </w:tcPr>
                <w:p w14:paraId="6BDAD6E9" w14:textId="77777777" w:rsidR="00BD4DC1" w:rsidRPr="009B018D" w:rsidRDefault="00BD4DC1" w:rsidP="00BD4DC1">
                  <w:pPr>
                    <w:pStyle w:val="Tabletext"/>
                  </w:pPr>
                </w:p>
              </w:tc>
            </w:tr>
            <w:tr w:rsidR="00BD4DC1" w:rsidRPr="009B018D" w14:paraId="314987F0" w14:textId="77777777" w:rsidTr="00BD4DC1">
              <w:tc>
                <w:tcPr>
                  <w:tcW w:w="3477" w:type="dxa"/>
                </w:tcPr>
                <w:p w14:paraId="7D500A8C" w14:textId="77777777" w:rsidR="00BD4DC1" w:rsidRPr="009B018D" w:rsidDel="002F658C" w:rsidRDefault="00BD4DC1" w:rsidP="00BD4DC1">
                  <w:pPr>
                    <w:pStyle w:val="Tabletext"/>
                  </w:pPr>
                  <w:r w:rsidRPr="00623D42">
                    <w:t>Previously</w:t>
                  </w:r>
                  <w:r w:rsidRPr="009B018D">
                    <w:t xml:space="preserve"> untreated patients unsuitable for ASCT were offered R-CHOP, R-</w:t>
                  </w:r>
                  <w:proofErr w:type="spellStart"/>
                  <w:r w:rsidRPr="009B018D">
                    <w:lastRenderedPageBreak/>
                    <w:t>bendamustine</w:t>
                  </w:r>
                  <w:proofErr w:type="spellEnd"/>
                  <w:r w:rsidRPr="009B018D">
                    <w:t xml:space="preserve">, R-BAC or VR-CAP </w:t>
                  </w:r>
                </w:p>
              </w:tc>
              <w:tc>
                <w:tcPr>
                  <w:tcW w:w="1127" w:type="dxa"/>
                </w:tcPr>
                <w:p w14:paraId="02B1914D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410" w:type="dxa"/>
                </w:tcPr>
                <w:p w14:paraId="711FF4F0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634" w:type="dxa"/>
                </w:tcPr>
                <w:p w14:paraId="72047D58" w14:textId="77777777" w:rsidR="00BD4DC1" w:rsidRPr="009B018D" w:rsidRDefault="00BD4DC1" w:rsidP="00BD4DC1">
                  <w:pPr>
                    <w:pStyle w:val="Tabletext"/>
                  </w:pPr>
                </w:p>
              </w:tc>
            </w:tr>
            <w:tr w:rsidR="00BD4DC1" w:rsidRPr="009B018D" w14:paraId="4DA6AD7F" w14:textId="77777777" w:rsidTr="00BD4DC1">
              <w:tc>
                <w:tcPr>
                  <w:tcW w:w="3477" w:type="dxa"/>
                </w:tcPr>
                <w:p w14:paraId="6CF0DC79" w14:textId="77777777" w:rsidR="00BD4DC1" w:rsidRPr="009B018D" w:rsidDel="002F658C" w:rsidRDefault="00BD4DC1" w:rsidP="00BD4DC1">
                  <w:pPr>
                    <w:pStyle w:val="Tabletext"/>
                  </w:pPr>
                  <w:r w:rsidRPr="009B018D">
                    <w:t>Patients were offered rituximab maintenance post</w:t>
                  </w:r>
                  <w:r>
                    <w:t>-</w:t>
                  </w:r>
                  <w:r w:rsidRPr="009B018D">
                    <w:t>R</w:t>
                  </w:r>
                  <w:r>
                    <w:t>-</w:t>
                  </w:r>
                  <w:r w:rsidRPr="009B018D">
                    <w:t>CHOP induction</w:t>
                  </w:r>
                </w:p>
              </w:tc>
              <w:tc>
                <w:tcPr>
                  <w:tcW w:w="1127" w:type="dxa"/>
                </w:tcPr>
                <w:p w14:paraId="6F470970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410" w:type="dxa"/>
                </w:tcPr>
                <w:p w14:paraId="1341F4B8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634" w:type="dxa"/>
                </w:tcPr>
                <w:p w14:paraId="6455E107" w14:textId="77777777" w:rsidR="00BD4DC1" w:rsidRPr="009B018D" w:rsidRDefault="00BD4DC1" w:rsidP="00BD4DC1">
                  <w:pPr>
                    <w:pStyle w:val="Tabletext"/>
                  </w:pPr>
                </w:p>
              </w:tc>
            </w:tr>
            <w:tr w:rsidR="00BD4DC1" w:rsidRPr="009B018D" w14:paraId="4B8A060F" w14:textId="77777777" w:rsidTr="00BD4DC1">
              <w:tc>
                <w:tcPr>
                  <w:tcW w:w="7648" w:type="dxa"/>
                  <w:gridSpan w:val="4"/>
                  <w:shd w:val="clear" w:color="auto" w:fill="D9D9D9"/>
                </w:tcPr>
                <w:p w14:paraId="0E5AC6D1" w14:textId="77777777" w:rsidR="00BD4DC1" w:rsidRPr="009B018D" w:rsidRDefault="00BD4DC1" w:rsidP="00BD4DC1">
                  <w:pPr>
                    <w:pStyle w:val="Tabletext"/>
                  </w:pPr>
                  <w:r w:rsidRPr="009B018D">
                    <w:t>Management at first relapse</w:t>
                  </w:r>
                </w:p>
              </w:tc>
            </w:tr>
            <w:tr w:rsidR="00BD4DC1" w:rsidRPr="009B018D" w14:paraId="1D4B0311" w14:textId="77777777" w:rsidTr="00BD4DC1">
              <w:tc>
                <w:tcPr>
                  <w:tcW w:w="3477" w:type="dxa"/>
                </w:tcPr>
                <w:p w14:paraId="091747E4" w14:textId="77777777" w:rsidR="00BD4DC1" w:rsidRPr="009B018D" w:rsidDel="002F658C" w:rsidRDefault="00BD4DC1" w:rsidP="00BD4DC1">
                  <w:pPr>
                    <w:pStyle w:val="Tabletext"/>
                  </w:pPr>
                  <w:r w:rsidRPr="009B018D">
                    <w:t xml:space="preserve">Patients at first relapse were offered ibrutinib monotherapy as an approved and reimbursed standard of care option in the United Kingdom </w:t>
                  </w:r>
                </w:p>
              </w:tc>
              <w:tc>
                <w:tcPr>
                  <w:tcW w:w="1127" w:type="dxa"/>
                </w:tcPr>
                <w:p w14:paraId="5D2DB285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410" w:type="dxa"/>
                </w:tcPr>
                <w:p w14:paraId="3D26771A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634" w:type="dxa"/>
                </w:tcPr>
                <w:p w14:paraId="07B3F1AC" w14:textId="77777777" w:rsidR="00BD4DC1" w:rsidRPr="009B018D" w:rsidRDefault="00BD4DC1" w:rsidP="00BD4DC1">
                  <w:pPr>
                    <w:pStyle w:val="Tabletext"/>
                  </w:pPr>
                </w:p>
              </w:tc>
            </w:tr>
            <w:tr w:rsidR="00BD4DC1" w:rsidRPr="009B018D" w14:paraId="531D1FB5" w14:textId="77777777" w:rsidTr="00BD4DC1">
              <w:tc>
                <w:tcPr>
                  <w:tcW w:w="7648" w:type="dxa"/>
                  <w:gridSpan w:val="4"/>
                  <w:shd w:val="clear" w:color="auto" w:fill="D9D9D9"/>
                </w:tcPr>
                <w:p w14:paraId="61C163C3" w14:textId="77777777" w:rsidR="00BD4DC1" w:rsidRPr="009B018D" w:rsidRDefault="00BD4DC1" w:rsidP="00BD4DC1">
                  <w:pPr>
                    <w:pStyle w:val="Tabletext"/>
                  </w:pPr>
                  <w:r w:rsidRPr="009B018D">
                    <w:t>CAR-T cell therapy</w:t>
                  </w:r>
                </w:p>
              </w:tc>
            </w:tr>
            <w:tr w:rsidR="00BD4DC1" w:rsidRPr="009B018D" w14:paraId="0A0E8996" w14:textId="77777777" w:rsidTr="00BD4DC1">
              <w:tc>
                <w:tcPr>
                  <w:tcW w:w="3477" w:type="dxa"/>
                </w:tcPr>
                <w:p w14:paraId="1F5643DD" w14:textId="77777777" w:rsidR="00BD4DC1" w:rsidRPr="009B018D" w:rsidRDefault="00BD4DC1" w:rsidP="00BD4DC1">
                  <w:pPr>
                    <w:pStyle w:val="Tabletext"/>
                  </w:pPr>
                  <w:r w:rsidRPr="009B018D">
                    <w:t xml:space="preserve">Potential candidates for future CAR-T cell treatment were risk assessed at first relapse prior to initiation of a BTKi. All high-risk cases were discussed with a CAR-T cell centre. High risk includes: </w:t>
                  </w:r>
                  <w:proofErr w:type="spellStart"/>
                  <w:r w:rsidRPr="009B018D">
                    <w:t>blastoid</w:t>
                  </w:r>
                  <w:proofErr w:type="spellEnd"/>
                  <w:r w:rsidRPr="009B018D">
                    <w:t xml:space="preserve">/pleomorphic morphology, Ki67% &gt;50, </w:t>
                  </w:r>
                  <w:r w:rsidRPr="009B018D">
                    <w:rPr>
                      <w:i/>
                      <w:iCs/>
                    </w:rPr>
                    <w:t>TP53</w:t>
                  </w:r>
                  <w:r w:rsidRPr="009B018D">
                    <w:t xml:space="preserve"> mutation, high-risk </w:t>
                  </w:r>
                  <w:proofErr w:type="spellStart"/>
                  <w:r w:rsidRPr="009B018D">
                    <w:t>sMIPI</w:t>
                  </w:r>
                  <w:proofErr w:type="spellEnd"/>
                  <w:r w:rsidRPr="009B018D">
                    <w:t>, bulk</w:t>
                  </w:r>
                  <w:r>
                    <w:t> </w:t>
                  </w:r>
                  <w:r w:rsidRPr="009B018D">
                    <w:t xml:space="preserve">&gt;5 cm or POD24 </w:t>
                  </w:r>
                </w:p>
              </w:tc>
              <w:tc>
                <w:tcPr>
                  <w:tcW w:w="1127" w:type="dxa"/>
                </w:tcPr>
                <w:p w14:paraId="4B763858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410" w:type="dxa"/>
                </w:tcPr>
                <w:p w14:paraId="115C779D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634" w:type="dxa"/>
                </w:tcPr>
                <w:p w14:paraId="23658E3D" w14:textId="77777777" w:rsidR="00BD4DC1" w:rsidRPr="009B018D" w:rsidRDefault="00BD4DC1" w:rsidP="00BD4DC1">
                  <w:pPr>
                    <w:pStyle w:val="Tabletext"/>
                  </w:pPr>
                </w:p>
              </w:tc>
            </w:tr>
            <w:tr w:rsidR="00BD4DC1" w:rsidRPr="009B018D" w14:paraId="2A04A503" w14:textId="77777777" w:rsidTr="00BD4DC1">
              <w:tc>
                <w:tcPr>
                  <w:tcW w:w="3477" w:type="dxa"/>
                </w:tcPr>
                <w:p w14:paraId="6AC107A5" w14:textId="77777777" w:rsidR="00BD4DC1" w:rsidRPr="009B018D" w:rsidRDefault="00BD4DC1" w:rsidP="00BD4DC1">
                  <w:pPr>
                    <w:pStyle w:val="Tabletext"/>
                  </w:pPr>
                  <w:r w:rsidRPr="009B018D">
                    <w:t>High-risk patients starting ibrutinib had CT or PET-CT re-staging within 8–12 weeks (earlier if concerned). Lack of early response with stable or progressive disease on ibrutinib prompted an urgent referral to a CAR-T cell centre</w:t>
                  </w:r>
                </w:p>
              </w:tc>
              <w:tc>
                <w:tcPr>
                  <w:tcW w:w="1127" w:type="dxa"/>
                </w:tcPr>
                <w:p w14:paraId="0A4F4213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410" w:type="dxa"/>
                </w:tcPr>
                <w:p w14:paraId="1DA6936B" w14:textId="77777777" w:rsidR="00BD4DC1" w:rsidRPr="009B018D" w:rsidRDefault="00BD4DC1" w:rsidP="00BD4DC1">
                  <w:pPr>
                    <w:pStyle w:val="Tabletext"/>
                  </w:pPr>
                </w:p>
              </w:tc>
              <w:tc>
                <w:tcPr>
                  <w:tcW w:w="1634" w:type="dxa"/>
                </w:tcPr>
                <w:p w14:paraId="1A723269" w14:textId="77777777" w:rsidR="00BD4DC1" w:rsidRPr="009B018D" w:rsidRDefault="00BD4DC1" w:rsidP="00BD4DC1">
                  <w:pPr>
                    <w:pStyle w:val="Tabletext"/>
                  </w:pPr>
                </w:p>
              </w:tc>
            </w:tr>
          </w:tbl>
          <w:p w14:paraId="4C21FCF8" w14:textId="5FE6C934" w:rsidR="00BD4DC1" w:rsidRPr="009349D7" w:rsidRDefault="00BD4DC1" w:rsidP="00BD4DC1">
            <w:pPr>
              <w:rPr>
                <w:rFonts w:cs="Arial"/>
                <w:b/>
                <w:szCs w:val="24"/>
              </w:rPr>
            </w:pPr>
          </w:p>
        </w:tc>
      </w:tr>
      <w:tr w:rsidR="00BD4DC1" w:rsidRPr="00077B16" w14:paraId="0B06E3F0" w14:textId="77777777" w:rsidTr="00BD4DC1">
        <w:trPr>
          <w:trHeight w:val="469"/>
        </w:trPr>
        <w:tc>
          <w:tcPr>
            <w:tcW w:w="1737" w:type="dxa"/>
          </w:tcPr>
          <w:p w14:paraId="4CAABCEC" w14:textId="77777777" w:rsidR="00BD4DC1" w:rsidRPr="009349D7" w:rsidRDefault="00BD4DC1" w:rsidP="00BD4DC1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891" w:type="dxa"/>
          </w:tcPr>
          <w:p w14:paraId="54F6617D" w14:textId="2A569065" w:rsidR="00BD4DC1" w:rsidRPr="009349D7" w:rsidRDefault="00BD4DC1" w:rsidP="00BD4DC1">
            <w:pPr>
              <w:pStyle w:val="Bodytextredfont"/>
            </w:pPr>
            <w:r w:rsidRPr="009349D7">
              <w:t>(To be completed by the author)</w:t>
            </w:r>
          </w:p>
        </w:tc>
      </w:tr>
      <w:tr w:rsidR="00BD4DC1" w:rsidRPr="00077B16" w14:paraId="5BF6DC79" w14:textId="77777777" w:rsidTr="00BD4DC1">
        <w:trPr>
          <w:trHeight w:val="58"/>
        </w:trPr>
        <w:tc>
          <w:tcPr>
            <w:tcW w:w="1737" w:type="dxa"/>
          </w:tcPr>
          <w:p w14:paraId="6ED49695" w14:textId="7E6D1E8E" w:rsidR="00BD4DC1" w:rsidRPr="009349D7" w:rsidRDefault="00BD4DC1" w:rsidP="00BD4DC1">
            <w:pPr>
              <w:pStyle w:val="Rowheading"/>
            </w:pPr>
            <w:r w:rsidRPr="009349D7">
              <w:t>Recommend-</w:t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</w:tc>
        <w:tc>
          <w:tcPr>
            <w:tcW w:w="7891" w:type="dxa"/>
          </w:tcPr>
          <w:p w14:paraId="1C0DE42A" w14:textId="5B6C4488" w:rsidR="00BD4DC1" w:rsidRPr="009349D7" w:rsidRDefault="00BD4DC1" w:rsidP="00BD4DC1">
            <w:r w:rsidRPr="009349D7">
              <w:t>Present the result with recommendations, actions and responsibilities for action and a timescale for implementation. Assign a person(s) responsible to do the work within a timeframe.</w:t>
            </w:r>
            <w:r>
              <w:t xml:space="preserve"> </w:t>
            </w:r>
            <w:r w:rsidRPr="00BD4DC1">
              <w:t>For local sites to consider auditing these guidelines against their practice.</w:t>
            </w:r>
          </w:p>
        </w:tc>
      </w:tr>
      <w:tr w:rsidR="00BD4DC1" w:rsidRPr="00077B16" w14:paraId="3AB83BB0" w14:textId="77777777" w:rsidTr="00BD4DC1">
        <w:trPr>
          <w:trHeight w:val="58"/>
        </w:trPr>
        <w:tc>
          <w:tcPr>
            <w:tcW w:w="1737" w:type="dxa"/>
          </w:tcPr>
          <w:p w14:paraId="7B1DBC85" w14:textId="1FF56588" w:rsidR="00BD4DC1" w:rsidRPr="009349D7" w:rsidRDefault="00BD4DC1" w:rsidP="00BD4DC1">
            <w:pPr>
              <w:pStyle w:val="Rowheading"/>
            </w:pPr>
            <w:r w:rsidRPr="009349D7">
              <w:t>Action plan</w:t>
            </w:r>
          </w:p>
        </w:tc>
        <w:tc>
          <w:tcPr>
            <w:tcW w:w="7891" w:type="dxa"/>
          </w:tcPr>
          <w:p w14:paraId="3ED634E6" w14:textId="3A02274B" w:rsidR="00BD4DC1" w:rsidRPr="009349D7" w:rsidRDefault="00BD4DC1" w:rsidP="00BD4DC1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BD4DC1" w:rsidRPr="00077B16" w14:paraId="2456F3A2" w14:textId="77777777" w:rsidTr="00BD4DC1">
        <w:trPr>
          <w:trHeight w:val="58"/>
        </w:trPr>
        <w:tc>
          <w:tcPr>
            <w:tcW w:w="1737" w:type="dxa"/>
          </w:tcPr>
          <w:p w14:paraId="2874F728" w14:textId="77777777" w:rsidR="00BD4DC1" w:rsidRPr="009349D7" w:rsidRDefault="00BD4DC1" w:rsidP="00BD4DC1">
            <w:pPr>
              <w:pStyle w:val="Rowheading"/>
            </w:pPr>
            <w:r w:rsidRPr="009349D7">
              <w:t>Re-audit date</w:t>
            </w:r>
          </w:p>
        </w:tc>
        <w:tc>
          <w:tcPr>
            <w:tcW w:w="7891" w:type="dxa"/>
          </w:tcPr>
          <w:p w14:paraId="2A3A9445" w14:textId="77777777" w:rsidR="00BD4DC1" w:rsidRPr="009349D7" w:rsidRDefault="00BD4DC1" w:rsidP="00BD4DC1">
            <w:pPr>
              <w:pStyle w:val="Bodytextredfont"/>
            </w:pPr>
            <w:r w:rsidRPr="009349D7">
              <w:t>(To be completed by the author)</w:t>
            </w:r>
          </w:p>
        </w:tc>
      </w:tr>
      <w:tr w:rsidR="00BD4DC1" w:rsidRPr="00077B16" w14:paraId="7E5BF0AE" w14:textId="77777777" w:rsidTr="00BD4DC1">
        <w:trPr>
          <w:trHeight w:val="469"/>
        </w:trPr>
        <w:tc>
          <w:tcPr>
            <w:tcW w:w="1737" w:type="dxa"/>
          </w:tcPr>
          <w:p w14:paraId="6DDCB30D" w14:textId="4FB705CA" w:rsidR="00BD4DC1" w:rsidRPr="009349D7" w:rsidRDefault="00BD4DC1" w:rsidP="00BD4DC1">
            <w:pPr>
              <w:pStyle w:val="Rowheading"/>
            </w:pPr>
            <w:r w:rsidRPr="009349D7">
              <w:lastRenderedPageBreak/>
              <w:t>References</w:t>
            </w:r>
          </w:p>
          <w:p w14:paraId="36CD5C27" w14:textId="16D11343" w:rsidR="00BD4DC1" w:rsidRPr="009349D7" w:rsidRDefault="00BD4DC1" w:rsidP="00BD4DC1">
            <w:pPr>
              <w:pStyle w:val="Rowheading"/>
            </w:pPr>
          </w:p>
        </w:tc>
        <w:tc>
          <w:tcPr>
            <w:tcW w:w="7891" w:type="dxa"/>
          </w:tcPr>
          <w:p w14:paraId="7F5516E3" w14:textId="409D481D" w:rsidR="00BD4DC1" w:rsidRPr="00876760" w:rsidRDefault="00BD4DC1" w:rsidP="00BD4DC1">
            <w:pPr>
              <w:pStyle w:val="Numberedlist"/>
            </w:pPr>
            <w:r w:rsidRPr="00640958">
              <w:t xml:space="preserve">Eyre TA, Bishton MJ, McCulloch R, O'Reilly M, Sanderson R, Menon G </w:t>
            </w:r>
            <w:r w:rsidRPr="00640958">
              <w:rPr>
                <w:i/>
                <w:iCs/>
              </w:rPr>
              <w:t>et al</w:t>
            </w:r>
            <w:r w:rsidRPr="009B018D">
              <w:t xml:space="preserve">. Diagnosis and management of mantle cell lymphoma: A British Society for Haematology Guideline. </w:t>
            </w:r>
            <w:r w:rsidRPr="00640958">
              <w:rPr>
                <w:i/>
                <w:iCs/>
              </w:rPr>
              <w:t xml:space="preserve">Br J </w:t>
            </w:r>
            <w:proofErr w:type="spellStart"/>
            <w:r w:rsidRPr="00640958">
              <w:rPr>
                <w:i/>
                <w:iCs/>
              </w:rPr>
              <w:t>Haematol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gramStart"/>
            <w:r>
              <w:t>2024;204:108</w:t>
            </w:r>
            <w:proofErr w:type="gramEnd"/>
            <w:r>
              <w:t>–126.</w:t>
            </w:r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3DBDFA0A" w14:textId="4CF1EF90" w:rsidR="009929C5" w:rsidRPr="001F037A" w:rsidRDefault="00860AF9" w:rsidP="00BD4DC1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3B186F" w:rsidRPr="009349D7">
        <w:t xml:space="preserve">for </w:t>
      </w:r>
      <w:r w:rsidR="00BD4DC1">
        <w:t>patients (</w:t>
      </w:r>
      <w:r w:rsidR="00BD4DC1" w:rsidRPr="00BD4DC1">
        <w:t>Diagnosis and management of mantle cell lymphoma</w:t>
      </w:r>
      <w:r w:rsidR="00BD4DC1">
        <w:t>)</w:t>
      </w:r>
    </w:p>
    <w:p w14:paraId="3C2E1AFD" w14:textId="4D6E5462" w:rsidR="00253E1A" w:rsidRPr="009349D7" w:rsidRDefault="009929C5" w:rsidP="001F037A">
      <w:pPr>
        <w:pStyle w:val="Heading2"/>
      </w:pPr>
      <w:r w:rsidRPr="009349D7">
        <w:t xml:space="preserve">Audit reviewing </w:t>
      </w:r>
      <w:proofErr w:type="gramStart"/>
      <w:r w:rsidR="00BD4DC1">
        <w:t>practice</w:t>
      </w:r>
      <w:proofErr w:type="gramEnd"/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2EBA8809" w14:textId="77777777" w:rsidR="00BD4DC1" w:rsidRPr="00BD4DC1" w:rsidRDefault="00BD4DC1" w:rsidP="00BD4DC1">
      <w:r w:rsidRPr="00BD4DC1">
        <w:t>Unit number(s)</w:t>
      </w:r>
    </w:p>
    <w:p w14:paraId="450192CB" w14:textId="77777777" w:rsidR="00BD4DC1" w:rsidRPr="00BD4DC1" w:rsidRDefault="00BD4DC1" w:rsidP="00BD4DC1">
      <w:r w:rsidRPr="00BD4DC1">
        <w:t>Date of transfusion:</w:t>
      </w:r>
    </w:p>
    <w:p w14:paraId="68694132" w14:textId="77777777" w:rsidR="00BD4DC1" w:rsidRPr="00BD4DC1" w:rsidRDefault="00BD4DC1" w:rsidP="00BD4DC1">
      <w:r w:rsidRPr="00BD4DC1">
        <w:t>(Note: a separate form should be completed for each transfusion episode.)</w:t>
      </w:r>
    </w:p>
    <w:p w14:paraId="28F717FF" w14:textId="77777777" w:rsidR="00BD4DC1" w:rsidRPr="00BD4DC1" w:rsidRDefault="00BD4DC1" w:rsidP="00BD4DC1"/>
    <w:p w14:paraId="2A605CA4" w14:textId="77777777" w:rsidR="00BD4DC1" w:rsidRPr="00BD4DC1" w:rsidRDefault="00BD4DC1" w:rsidP="00BD4DC1">
      <w:pPr>
        <w:rPr>
          <w:b/>
          <w:bCs/>
        </w:rPr>
      </w:pPr>
      <w:r w:rsidRPr="00BD4DC1">
        <w:rPr>
          <w:b/>
          <w:bCs/>
        </w:rPr>
        <w:t>Given to:</w:t>
      </w:r>
    </w:p>
    <w:p w14:paraId="4DCED299" w14:textId="77777777" w:rsidR="00BD4DC1" w:rsidRPr="00BD4DC1" w:rsidRDefault="00BD4DC1" w:rsidP="00BD4DC1">
      <w:r w:rsidRPr="00BD4DC1">
        <w:t xml:space="preserve">Patient name:          </w:t>
      </w:r>
    </w:p>
    <w:p w14:paraId="12721B51" w14:textId="77777777" w:rsidR="00BD4DC1" w:rsidRPr="00BD4DC1" w:rsidRDefault="00BD4DC1" w:rsidP="00BD4DC1">
      <w:r w:rsidRPr="00BD4DC1">
        <w:t>Hospital number:</w:t>
      </w:r>
    </w:p>
    <w:p w14:paraId="3E8E9CD6" w14:textId="77777777" w:rsidR="00BD4DC1" w:rsidRPr="00BD4DC1" w:rsidRDefault="00BD4DC1" w:rsidP="00BD4DC1">
      <w:r w:rsidRPr="00BD4DC1">
        <w:t>Date of birth: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1244"/>
        <w:gridCol w:w="1337"/>
        <w:gridCol w:w="2121"/>
        <w:gridCol w:w="2335"/>
      </w:tblGrid>
      <w:tr w:rsidR="00BD4DC1" w:rsidRPr="00077B16" w14:paraId="096252DE" w14:textId="77777777" w:rsidTr="00BD4DC1">
        <w:trPr>
          <w:trHeight w:val="128"/>
        </w:trPr>
        <w:tc>
          <w:tcPr>
            <w:tcW w:w="2817" w:type="dxa"/>
            <w:tcBorders>
              <w:bottom w:val="single" w:sz="4" w:space="0" w:color="auto"/>
            </w:tcBorders>
          </w:tcPr>
          <w:p w14:paraId="26EA664E" w14:textId="35F2FEDD" w:rsidR="00BD4DC1" w:rsidRPr="001F037A" w:rsidRDefault="00BD4DC1" w:rsidP="00BD4DC1">
            <w:pPr>
              <w:pStyle w:val="Tabletext"/>
            </w:pPr>
            <w:r w:rsidRPr="009B018D">
              <w:t>Standard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0D520C6D" w14:textId="77777777" w:rsidR="00BD4DC1" w:rsidRPr="009B018D" w:rsidRDefault="00BD4DC1" w:rsidP="00BD4DC1">
            <w:pPr>
              <w:pStyle w:val="Tabletext"/>
              <w:rPr>
                <w:b/>
                <w:bCs/>
              </w:rPr>
            </w:pPr>
            <w:r w:rsidRPr="009B018D">
              <w:rPr>
                <w:b/>
                <w:bCs/>
              </w:rPr>
              <w:t>1</w:t>
            </w:r>
          </w:p>
          <w:p w14:paraId="4BAF7515" w14:textId="1FB36AC5" w:rsidR="00BD4DC1" w:rsidRPr="00781C28" w:rsidRDefault="00BD4DC1" w:rsidP="00BD4DC1">
            <w:pPr>
              <w:pStyle w:val="Tabletext"/>
            </w:pPr>
            <w:r w:rsidRPr="009B018D">
              <w:rPr>
                <w:b/>
              </w:rPr>
              <w:t xml:space="preserve">Yes 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0625F7C" w14:textId="77777777" w:rsidR="00BD4DC1" w:rsidRPr="009B018D" w:rsidRDefault="00BD4DC1" w:rsidP="00BD4DC1">
            <w:pPr>
              <w:pStyle w:val="Tabletext"/>
              <w:rPr>
                <w:b/>
                <w:bCs/>
              </w:rPr>
            </w:pPr>
            <w:r w:rsidRPr="009B018D">
              <w:rPr>
                <w:b/>
                <w:bCs/>
              </w:rPr>
              <w:t>2</w:t>
            </w:r>
          </w:p>
          <w:p w14:paraId="0FFDB801" w14:textId="48F5DC62" w:rsidR="00BD4DC1" w:rsidRPr="00781C28" w:rsidRDefault="00BD4DC1" w:rsidP="00BD4DC1">
            <w:pPr>
              <w:pStyle w:val="Tabletext"/>
            </w:pPr>
            <w:r w:rsidRPr="009B018D">
              <w:rPr>
                <w:b/>
              </w:rPr>
              <w:t>No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D8E7D1C" w14:textId="78F0587B" w:rsidR="00BD4DC1" w:rsidRPr="00781C28" w:rsidRDefault="00BD4DC1" w:rsidP="00BD4DC1">
            <w:pPr>
              <w:pStyle w:val="Tabletext"/>
            </w:pPr>
            <w:r w:rsidRPr="009B018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9B018D">
              <w:t>If shaded box not ticked, was there documentation to explain the variance?</w:t>
            </w:r>
            <w:r w:rsidRPr="009B018D">
              <w:br/>
            </w:r>
            <w:r w:rsidRPr="009B018D">
              <w:rPr>
                <w:b/>
              </w:rPr>
              <w:t>Yes/No</w:t>
            </w:r>
            <w:r w:rsidRPr="009B018D">
              <w:t xml:space="preserve"> plus free-text comment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5E62A50A" w14:textId="48F0CC6C" w:rsidR="00BD4DC1" w:rsidRPr="00781C28" w:rsidRDefault="00BD4DC1" w:rsidP="00BD4DC1">
            <w:pPr>
              <w:pStyle w:val="Tabletext"/>
              <w:ind w:left="163" w:hanging="142"/>
              <w:rPr>
                <w:bCs/>
              </w:rPr>
            </w:pPr>
            <w:r w:rsidRPr="009B018D">
              <w:rPr>
                <w:b/>
                <w:bCs/>
              </w:rPr>
              <w:t>4</w:t>
            </w:r>
            <w:r w:rsidRPr="009B018D">
              <w:rPr>
                <w:b/>
                <w:bCs/>
              </w:rPr>
              <w:tab/>
            </w:r>
            <w:r w:rsidRPr="009B018D">
              <w:t xml:space="preserve">Compliant with guideline if shaded box ticked or an appropriate explanation from column 3. </w:t>
            </w:r>
            <w:r w:rsidRPr="009B018D">
              <w:rPr>
                <w:b/>
              </w:rPr>
              <w:t>Yes/No</w:t>
            </w:r>
            <w:r w:rsidRPr="009B018D">
              <w:rPr>
                <w:b/>
              </w:rPr>
              <w:br/>
            </w:r>
            <w:r w:rsidRPr="009B018D">
              <w:t>(Record if standard not applicable)</w:t>
            </w:r>
          </w:p>
        </w:tc>
      </w:tr>
      <w:tr w:rsidR="00BD4DC1" w:rsidRPr="00077B16" w14:paraId="68DFAF5C" w14:textId="77777777" w:rsidTr="00BD4DC1">
        <w:trPr>
          <w:trHeight w:val="58"/>
        </w:trPr>
        <w:tc>
          <w:tcPr>
            <w:tcW w:w="9854" w:type="dxa"/>
            <w:gridSpan w:val="5"/>
          </w:tcPr>
          <w:p w14:paraId="4007088C" w14:textId="6DBC97F0" w:rsidR="00BD4DC1" w:rsidRPr="00077B16" w:rsidRDefault="00BD4DC1" w:rsidP="00BD4DC1">
            <w:pPr>
              <w:pStyle w:val="Tabletext"/>
              <w:rPr>
                <w:b/>
                <w:bCs/>
              </w:rPr>
            </w:pPr>
            <w:r w:rsidRPr="009B018D">
              <w:rPr>
                <w:b/>
                <w:bCs/>
                <w:color w:val="000000"/>
              </w:rPr>
              <w:t>Prognostic models</w:t>
            </w:r>
          </w:p>
        </w:tc>
      </w:tr>
      <w:tr w:rsidR="00BD4DC1" w:rsidRPr="00077B16" w14:paraId="281C1E04" w14:textId="77777777" w:rsidTr="00BD4DC1">
        <w:trPr>
          <w:trHeight w:val="128"/>
        </w:trPr>
        <w:tc>
          <w:tcPr>
            <w:tcW w:w="2817" w:type="dxa"/>
          </w:tcPr>
          <w:p w14:paraId="685747B8" w14:textId="215214FA" w:rsidR="00BD4DC1" w:rsidRPr="00077B16" w:rsidRDefault="00BD4DC1" w:rsidP="00BD4DC1">
            <w:pPr>
              <w:pStyle w:val="Tabletext"/>
              <w:rPr>
                <w:color w:val="FF0000"/>
              </w:rPr>
            </w:pPr>
            <w:proofErr w:type="gramStart"/>
            <w:r w:rsidRPr="009B018D">
              <w:rPr>
                <w:b/>
              </w:rPr>
              <w:t>1</w:t>
            </w:r>
            <w:r w:rsidRPr="009B018D">
              <w:t>  </w:t>
            </w:r>
            <w:r w:rsidRPr="00E85CDA">
              <w:t>The</w:t>
            </w:r>
            <w:proofErr w:type="gramEnd"/>
            <w:r w:rsidRPr="009B018D">
              <w:t xml:space="preserve"> presence of Ki-67% (or equivalent) was reported in all MCL biopsies wherever possible and reported as &lt;30% versus ≥30% as a minimum</w:t>
            </w:r>
          </w:p>
        </w:tc>
        <w:tc>
          <w:tcPr>
            <w:tcW w:w="1244" w:type="dxa"/>
            <w:shd w:val="clear" w:color="auto" w:fill="D9D9D9"/>
          </w:tcPr>
          <w:p w14:paraId="77673BE0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</w:tcPr>
          <w:p w14:paraId="4E70FF01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</w:tcPr>
          <w:p w14:paraId="5FF3A24D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</w:tcPr>
          <w:p w14:paraId="20A6551E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</w:tr>
      <w:tr w:rsidR="00BD4DC1" w:rsidRPr="00077B16" w14:paraId="3CB1828E" w14:textId="77777777" w:rsidTr="00BD4DC1">
        <w:trPr>
          <w:trHeight w:val="128"/>
        </w:trPr>
        <w:tc>
          <w:tcPr>
            <w:tcW w:w="2817" w:type="dxa"/>
          </w:tcPr>
          <w:p w14:paraId="59B8492E" w14:textId="64FB854C" w:rsidR="00BD4DC1" w:rsidRPr="00077B16" w:rsidRDefault="00BD4DC1" w:rsidP="00BD4DC1">
            <w:pPr>
              <w:pStyle w:val="Tabletext"/>
              <w:rPr>
                <w:b/>
                <w:bCs/>
              </w:rPr>
            </w:pPr>
            <w:proofErr w:type="gramStart"/>
            <w:r w:rsidRPr="009B018D">
              <w:rPr>
                <w:b/>
              </w:rPr>
              <w:t>2</w:t>
            </w:r>
            <w:r w:rsidRPr="009B018D">
              <w:t>  </w:t>
            </w:r>
            <w:r w:rsidRPr="00E85CDA">
              <w:t>Patients</w:t>
            </w:r>
            <w:proofErr w:type="gramEnd"/>
            <w:r w:rsidRPr="009B018D">
              <w:t xml:space="preserve"> underwent</w:t>
            </w:r>
            <w:r>
              <w:t xml:space="preserve"> </w:t>
            </w:r>
            <w:r w:rsidRPr="009B018D">
              <w:rPr>
                <w:i/>
                <w:iCs/>
              </w:rPr>
              <w:t xml:space="preserve">TP53 </w:t>
            </w:r>
            <w:r w:rsidRPr="009B018D">
              <w:t xml:space="preserve">mutational analysis at diagnosis </w:t>
            </w:r>
          </w:p>
        </w:tc>
        <w:tc>
          <w:tcPr>
            <w:tcW w:w="1244" w:type="dxa"/>
            <w:shd w:val="clear" w:color="auto" w:fill="D9D9D9"/>
          </w:tcPr>
          <w:p w14:paraId="0DDC5FBA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</w:tcPr>
          <w:p w14:paraId="5A511944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</w:tcPr>
          <w:p w14:paraId="74433678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</w:tcPr>
          <w:p w14:paraId="518D8198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</w:tr>
      <w:tr w:rsidR="00BD4DC1" w:rsidRPr="00077B16" w14:paraId="0251DA41" w14:textId="77777777" w:rsidTr="00BD4DC1">
        <w:trPr>
          <w:trHeight w:val="74"/>
        </w:trPr>
        <w:tc>
          <w:tcPr>
            <w:tcW w:w="9854" w:type="dxa"/>
            <w:gridSpan w:val="5"/>
          </w:tcPr>
          <w:p w14:paraId="5D22277D" w14:textId="4AF54DE2" w:rsidR="00BD4DC1" w:rsidRPr="00077B16" w:rsidRDefault="00BD4DC1" w:rsidP="00BD4DC1">
            <w:pPr>
              <w:pStyle w:val="Tabletext"/>
              <w:rPr>
                <w:b/>
                <w:bCs/>
              </w:rPr>
            </w:pPr>
            <w:r w:rsidRPr="009B018D">
              <w:rPr>
                <w:b/>
                <w:bCs/>
                <w:color w:val="000000"/>
              </w:rPr>
              <w:t>Front-line ASCT-fit patients</w:t>
            </w:r>
          </w:p>
        </w:tc>
      </w:tr>
      <w:tr w:rsidR="00BD4DC1" w:rsidRPr="00077B16" w14:paraId="7CE77257" w14:textId="77777777" w:rsidTr="00BD4DC1">
        <w:trPr>
          <w:trHeight w:val="128"/>
        </w:trPr>
        <w:tc>
          <w:tcPr>
            <w:tcW w:w="2817" w:type="dxa"/>
          </w:tcPr>
          <w:p w14:paraId="192E9C0C" w14:textId="6E8CB230" w:rsidR="00BD4DC1" w:rsidRPr="00077B16" w:rsidRDefault="00BD4DC1" w:rsidP="00BD4DC1">
            <w:pPr>
              <w:pStyle w:val="Tabletext"/>
            </w:pPr>
            <w:proofErr w:type="gramStart"/>
            <w:r w:rsidRPr="009B018D">
              <w:rPr>
                <w:b/>
              </w:rPr>
              <w:t>1</w:t>
            </w:r>
            <w:r w:rsidRPr="009B018D">
              <w:t>  </w:t>
            </w:r>
            <w:r w:rsidRPr="00E85CDA">
              <w:t>Younger</w:t>
            </w:r>
            <w:proofErr w:type="gramEnd"/>
            <w:r w:rsidRPr="009B018D">
              <w:t xml:space="preserve">, fit patients received a first-line induction regimen containing rituximab </w:t>
            </w:r>
            <w:r w:rsidRPr="009B018D">
              <w:lastRenderedPageBreak/>
              <w:t>and high-dose cytarabine</w:t>
            </w:r>
          </w:p>
        </w:tc>
        <w:tc>
          <w:tcPr>
            <w:tcW w:w="1244" w:type="dxa"/>
            <w:shd w:val="clear" w:color="auto" w:fill="D9D9D9"/>
          </w:tcPr>
          <w:p w14:paraId="2C254730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</w:tcPr>
          <w:p w14:paraId="2D28CA37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</w:tcPr>
          <w:p w14:paraId="10E2684A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</w:tcPr>
          <w:p w14:paraId="58C79D39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</w:tr>
      <w:tr w:rsidR="00BD4DC1" w:rsidRPr="00077B16" w14:paraId="339C338B" w14:textId="77777777" w:rsidTr="00BD4DC1">
        <w:trPr>
          <w:trHeight w:val="128"/>
        </w:trPr>
        <w:tc>
          <w:tcPr>
            <w:tcW w:w="2817" w:type="dxa"/>
          </w:tcPr>
          <w:p w14:paraId="561A5D41" w14:textId="2A69F156" w:rsidR="00BD4DC1" w:rsidRPr="00077B16" w:rsidRDefault="00BD4DC1" w:rsidP="00BD4DC1">
            <w:pPr>
              <w:pStyle w:val="Tabletext"/>
            </w:pPr>
            <w:proofErr w:type="gramStart"/>
            <w:r w:rsidRPr="009B018D">
              <w:rPr>
                <w:b/>
              </w:rPr>
              <w:t>2</w:t>
            </w:r>
            <w:r w:rsidRPr="009B018D">
              <w:t>  Patients</w:t>
            </w:r>
            <w:proofErr w:type="gramEnd"/>
            <w:r w:rsidRPr="009B018D">
              <w:t xml:space="preserve"> were offered </w:t>
            </w:r>
            <w:r w:rsidRPr="00E85CDA">
              <w:t>maintenance</w:t>
            </w:r>
            <w:r w:rsidRPr="009B018D">
              <w:t xml:space="preserve"> rituximab (subcutaneous or intravenous) post-ASCT</w:t>
            </w:r>
            <w:r w:rsidRPr="009B018D">
              <w:rPr>
                <w:i/>
                <w:iCs/>
              </w:rPr>
              <w:t xml:space="preserve"> </w:t>
            </w:r>
          </w:p>
        </w:tc>
        <w:tc>
          <w:tcPr>
            <w:tcW w:w="1244" w:type="dxa"/>
            <w:shd w:val="clear" w:color="auto" w:fill="D9D9D9"/>
          </w:tcPr>
          <w:p w14:paraId="4C7864F3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shd w:val="clear" w:color="auto" w:fill="auto"/>
          </w:tcPr>
          <w:p w14:paraId="41C58C0E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</w:tcPr>
          <w:p w14:paraId="529ABD64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</w:tcPr>
          <w:p w14:paraId="15608A09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</w:tr>
      <w:tr w:rsidR="00BD4DC1" w:rsidRPr="00077B16" w14:paraId="5E79D2C8" w14:textId="77777777" w:rsidTr="00BD4DC1">
        <w:trPr>
          <w:trHeight w:val="128"/>
        </w:trPr>
        <w:tc>
          <w:tcPr>
            <w:tcW w:w="9854" w:type="dxa"/>
            <w:gridSpan w:val="5"/>
          </w:tcPr>
          <w:p w14:paraId="35AA39D8" w14:textId="68BA4A4F" w:rsidR="00BD4DC1" w:rsidRPr="00077B16" w:rsidRDefault="00BD4DC1" w:rsidP="00BD4DC1">
            <w:pPr>
              <w:pStyle w:val="Tabletext"/>
              <w:rPr>
                <w:b/>
                <w:bCs/>
              </w:rPr>
            </w:pPr>
            <w:r w:rsidRPr="009B018D">
              <w:rPr>
                <w:b/>
                <w:bCs/>
                <w:color w:val="000000"/>
              </w:rPr>
              <w:t>First-line treatment of MCL-</w:t>
            </w:r>
            <w:r>
              <w:rPr>
                <w:b/>
                <w:bCs/>
                <w:color w:val="000000"/>
              </w:rPr>
              <w:t>u</w:t>
            </w:r>
            <w:r w:rsidRPr="009B018D">
              <w:rPr>
                <w:b/>
                <w:bCs/>
                <w:color w:val="000000"/>
              </w:rPr>
              <w:t xml:space="preserve">nfit for transplant </w:t>
            </w:r>
          </w:p>
        </w:tc>
      </w:tr>
      <w:tr w:rsidR="00BD4DC1" w:rsidRPr="00077B16" w14:paraId="4055AAB7" w14:textId="77777777" w:rsidTr="00BD4DC1">
        <w:trPr>
          <w:trHeight w:val="128"/>
        </w:trPr>
        <w:tc>
          <w:tcPr>
            <w:tcW w:w="2817" w:type="dxa"/>
          </w:tcPr>
          <w:p w14:paraId="02982F28" w14:textId="156B1DA5" w:rsidR="00BD4DC1" w:rsidRPr="00077B16" w:rsidRDefault="00BD4DC1" w:rsidP="00BD4DC1">
            <w:pPr>
              <w:pStyle w:val="Tabletext"/>
              <w:rPr>
                <w:color w:val="FF0000"/>
              </w:rPr>
            </w:pPr>
            <w:proofErr w:type="gramStart"/>
            <w:r w:rsidRPr="009B018D">
              <w:rPr>
                <w:b/>
              </w:rPr>
              <w:t>1  </w:t>
            </w:r>
            <w:r w:rsidRPr="009B018D">
              <w:rPr>
                <w:bCs/>
              </w:rPr>
              <w:t>P</w:t>
            </w:r>
            <w:r w:rsidRPr="009B018D">
              <w:t>atients</w:t>
            </w:r>
            <w:proofErr w:type="gramEnd"/>
            <w:r w:rsidRPr="009B018D">
              <w:t xml:space="preserve"> </w:t>
            </w:r>
            <w:r w:rsidRPr="00712799">
              <w:t>that</w:t>
            </w:r>
            <w:r w:rsidRPr="009B018D">
              <w:t xml:space="preserve"> were unsuitable for high dose cytarabine-based induction and ASCT, were offered R-chemotherapy combinations as current standard of care</w:t>
            </w:r>
          </w:p>
        </w:tc>
        <w:tc>
          <w:tcPr>
            <w:tcW w:w="1244" w:type="dxa"/>
            <w:shd w:val="clear" w:color="auto" w:fill="D9D9D9"/>
          </w:tcPr>
          <w:p w14:paraId="2355C59C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</w:tcPr>
          <w:p w14:paraId="2C8AAE5E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</w:tcPr>
          <w:p w14:paraId="5F501B92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</w:tcPr>
          <w:p w14:paraId="1F3E9E90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</w:tr>
      <w:tr w:rsidR="00BD4DC1" w:rsidRPr="00077B16" w14:paraId="1D045AA4" w14:textId="77777777" w:rsidTr="00BD4DC1">
        <w:trPr>
          <w:trHeight w:val="128"/>
        </w:trPr>
        <w:tc>
          <w:tcPr>
            <w:tcW w:w="2817" w:type="dxa"/>
          </w:tcPr>
          <w:p w14:paraId="3183155C" w14:textId="495CFD16" w:rsidR="00BD4DC1" w:rsidRPr="00077B16" w:rsidRDefault="00BD4DC1" w:rsidP="00BD4DC1">
            <w:pPr>
              <w:pStyle w:val="Tabletext"/>
            </w:pPr>
            <w:proofErr w:type="gramStart"/>
            <w:r w:rsidRPr="009B018D">
              <w:rPr>
                <w:b/>
              </w:rPr>
              <w:t>2  </w:t>
            </w:r>
            <w:r w:rsidRPr="00712799">
              <w:t>Previously</w:t>
            </w:r>
            <w:proofErr w:type="gramEnd"/>
            <w:r w:rsidRPr="009B018D">
              <w:t xml:space="preserve"> untreated patients unsuitable for ASCT were offered R-CHOP, R-</w:t>
            </w:r>
            <w:proofErr w:type="spellStart"/>
            <w:r w:rsidRPr="009B018D">
              <w:t>bendamustine</w:t>
            </w:r>
            <w:proofErr w:type="spellEnd"/>
            <w:r w:rsidRPr="009B018D">
              <w:t xml:space="preserve">, </w:t>
            </w:r>
            <w:r w:rsidRPr="009B018D">
              <w:br/>
              <w:t xml:space="preserve">R-BAC or VR-CAP </w:t>
            </w:r>
          </w:p>
        </w:tc>
        <w:tc>
          <w:tcPr>
            <w:tcW w:w="1244" w:type="dxa"/>
            <w:shd w:val="clear" w:color="auto" w:fill="D9D9D9"/>
          </w:tcPr>
          <w:p w14:paraId="0CD72CF6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</w:tcPr>
          <w:p w14:paraId="35E4983C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</w:tcPr>
          <w:p w14:paraId="1DB0F87C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</w:tcPr>
          <w:p w14:paraId="293979DA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</w:tr>
      <w:tr w:rsidR="00BD4DC1" w:rsidRPr="00077B16" w14:paraId="4420D969" w14:textId="77777777" w:rsidTr="00BD4DC1">
        <w:trPr>
          <w:trHeight w:val="128"/>
        </w:trPr>
        <w:tc>
          <w:tcPr>
            <w:tcW w:w="2817" w:type="dxa"/>
          </w:tcPr>
          <w:p w14:paraId="4B161321" w14:textId="0F660D09" w:rsidR="00BD4DC1" w:rsidRPr="00077B16" w:rsidRDefault="00BD4DC1" w:rsidP="00BD4DC1">
            <w:pPr>
              <w:pStyle w:val="Tabletext"/>
            </w:pPr>
            <w:proofErr w:type="gramStart"/>
            <w:r w:rsidRPr="009D1261">
              <w:rPr>
                <w:b/>
                <w:bCs/>
              </w:rPr>
              <w:t>3  </w:t>
            </w:r>
            <w:r w:rsidRPr="009D1261">
              <w:t>Patients</w:t>
            </w:r>
            <w:proofErr w:type="gramEnd"/>
            <w:r w:rsidRPr="009D1261">
              <w:t xml:space="preserve"> were offered rituximab maintenance </w:t>
            </w:r>
            <w:r>
              <w:br/>
            </w:r>
            <w:r w:rsidRPr="009D1261">
              <w:t>post-R</w:t>
            </w:r>
            <w:r>
              <w:t>-</w:t>
            </w:r>
            <w:r w:rsidRPr="009D1261">
              <w:t>CHOP induction</w:t>
            </w:r>
          </w:p>
        </w:tc>
        <w:tc>
          <w:tcPr>
            <w:tcW w:w="1244" w:type="dxa"/>
            <w:shd w:val="clear" w:color="auto" w:fill="D9D9D9"/>
          </w:tcPr>
          <w:p w14:paraId="28E8B2C1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</w:tcPr>
          <w:p w14:paraId="021E60D2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</w:tcPr>
          <w:p w14:paraId="62750F6F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</w:tcPr>
          <w:p w14:paraId="3FDE098A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</w:tr>
      <w:tr w:rsidR="00BD4DC1" w:rsidRPr="00077B16" w14:paraId="3262F634" w14:textId="77777777" w:rsidTr="00BD4DC1">
        <w:trPr>
          <w:trHeight w:val="128"/>
        </w:trPr>
        <w:tc>
          <w:tcPr>
            <w:tcW w:w="9854" w:type="dxa"/>
            <w:gridSpan w:val="5"/>
          </w:tcPr>
          <w:p w14:paraId="02CDF5FF" w14:textId="3DC43EC3" w:rsidR="00BD4DC1" w:rsidRPr="00077B16" w:rsidRDefault="00BD4DC1" w:rsidP="00BD4DC1">
            <w:pPr>
              <w:pStyle w:val="Tabletext"/>
              <w:rPr>
                <w:b/>
                <w:bCs/>
              </w:rPr>
            </w:pPr>
            <w:r w:rsidRPr="009D1261">
              <w:rPr>
                <w:b/>
                <w:bCs/>
                <w:color w:val="000000"/>
              </w:rPr>
              <w:t>Management at first relapse</w:t>
            </w:r>
          </w:p>
        </w:tc>
      </w:tr>
      <w:tr w:rsidR="00BD4DC1" w:rsidRPr="00077B16" w14:paraId="5375EB38" w14:textId="77777777" w:rsidTr="00BD4DC1">
        <w:trPr>
          <w:trHeight w:val="128"/>
        </w:trPr>
        <w:tc>
          <w:tcPr>
            <w:tcW w:w="2817" w:type="dxa"/>
          </w:tcPr>
          <w:p w14:paraId="198BF612" w14:textId="293A85BD" w:rsidR="00BD4DC1" w:rsidRPr="00077B16" w:rsidRDefault="00BD4DC1" w:rsidP="00BD4DC1">
            <w:pPr>
              <w:pStyle w:val="Tabletext"/>
            </w:pPr>
            <w:proofErr w:type="gramStart"/>
            <w:r w:rsidRPr="009D1261">
              <w:rPr>
                <w:b/>
                <w:color w:val="000000"/>
              </w:rPr>
              <w:t>1  </w:t>
            </w:r>
            <w:r w:rsidRPr="009D1261">
              <w:rPr>
                <w:color w:val="000000"/>
              </w:rPr>
              <w:t>Patients</w:t>
            </w:r>
            <w:proofErr w:type="gramEnd"/>
            <w:r w:rsidRPr="009D1261">
              <w:rPr>
                <w:color w:val="000000"/>
              </w:rPr>
              <w:t xml:space="preserve"> at first relapse were offered ibrutinib monotherapy as an approved and reimbursed standard of care option in the United Kingdom </w:t>
            </w:r>
          </w:p>
        </w:tc>
        <w:tc>
          <w:tcPr>
            <w:tcW w:w="1244" w:type="dxa"/>
            <w:shd w:val="clear" w:color="auto" w:fill="D9D9D9"/>
          </w:tcPr>
          <w:p w14:paraId="296BDE77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shd w:val="clear" w:color="auto" w:fill="FFFFFF"/>
          </w:tcPr>
          <w:p w14:paraId="2A425179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</w:tcPr>
          <w:p w14:paraId="4D3C6B6B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</w:tcPr>
          <w:p w14:paraId="21F1C742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</w:tr>
      <w:tr w:rsidR="00BD4DC1" w:rsidRPr="00077B16" w14:paraId="77ACD80C" w14:textId="77777777" w:rsidTr="00BD4DC1">
        <w:trPr>
          <w:trHeight w:val="128"/>
        </w:trPr>
        <w:tc>
          <w:tcPr>
            <w:tcW w:w="9854" w:type="dxa"/>
            <w:gridSpan w:val="5"/>
          </w:tcPr>
          <w:p w14:paraId="05ED323C" w14:textId="5652E2D6" w:rsidR="00BD4DC1" w:rsidRPr="00077B16" w:rsidRDefault="00BD4DC1" w:rsidP="00BD4DC1">
            <w:pPr>
              <w:pStyle w:val="Tabletext"/>
              <w:rPr>
                <w:b/>
                <w:bCs/>
              </w:rPr>
            </w:pPr>
            <w:r w:rsidRPr="009D1261">
              <w:rPr>
                <w:b/>
                <w:bCs/>
                <w:color w:val="000000"/>
              </w:rPr>
              <w:t>CAR-T cell therapy</w:t>
            </w:r>
          </w:p>
        </w:tc>
      </w:tr>
      <w:tr w:rsidR="00BD4DC1" w:rsidRPr="00077B16" w14:paraId="5B5FE2CF" w14:textId="77777777" w:rsidTr="00BD4DC1">
        <w:trPr>
          <w:trHeight w:val="128"/>
        </w:trPr>
        <w:tc>
          <w:tcPr>
            <w:tcW w:w="2817" w:type="dxa"/>
          </w:tcPr>
          <w:p w14:paraId="3CE943AA" w14:textId="60A9ECBC" w:rsidR="00BD4DC1" w:rsidRPr="00077B16" w:rsidRDefault="00BD4DC1" w:rsidP="00BD4DC1">
            <w:pPr>
              <w:pStyle w:val="Tabletext"/>
            </w:pPr>
            <w:proofErr w:type="gramStart"/>
            <w:r w:rsidRPr="009D1261">
              <w:rPr>
                <w:b/>
                <w:bCs/>
                <w:color w:val="000000"/>
              </w:rPr>
              <w:t>1  </w:t>
            </w:r>
            <w:r w:rsidRPr="009D1261">
              <w:rPr>
                <w:color w:val="000000"/>
              </w:rPr>
              <w:t>Potential</w:t>
            </w:r>
            <w:proofErr w:type="gramEnd"/>
            <w:r w:rsidRPr="009D1261">
              <w:rPr>
                <w:color w:val="000000"/>
              </w:rPr>
              <w:t xml:space="preserve"> candidates for future CAR-T cell treatment were risk assessed at first relapse prior to initiation of a BTKi. All high-risk cases were discussed with a CAR-T cell centre. High risk includes: </w:t>
            </w:r>
            <w:proofErr w:type="spellStart"/>
            <w:r w:rsidRPr="009D1261">
              <w:rPr>
                <w:color w:val="000000"/>
              </w:rPr>
              <w:t>blastoid</w:t>
            </w:r>
            <w:proofErr w:type="spellEnd"/>
            <w:r w:rsidRPr="009D1261">
              <w:rPr>
                <w:color w:val="000000"/>
              </w:rPr>
              <w:t xml:space="preserve">/pleomorphic morphology, Ki67% </w:t>
            </w:r>
            <w:r w:rsidRPr="009D1261">
              <w:rPr>
                <w:color w:val="000000"/>
              </w:rPr>
              <w:lastRenderedPageBreak/>
              <w:t xml:space="preserve">&gt;50, </w:t>
            </w:r>
            <w:r w:rsidRPr="009D1261">
              <w:rPr>
                <w:i/>
                <w:iCs/>
                <w:color w:val="000000"/>
              </w:rPr>
              <w:t>TP53</w:t>
            </w:r>
            <w:r w:rsidRPr="009D1261">
              <w:rPr>
                <w:color w:val="000000"/>
              </w:rPr>
              <w:t xml:space="preserve"> mutation, high-risk </w:t>
            </w:r>
            <w:proofErr w:type="spellStart"/>
            <w:r w:rsidRPr="009D1261">
              <w:rPr>
                <w:color w:val="000000"/>
              </w:rPr>
              <w:t>sMIPI</w:t>
            </w:r>
            <w:proofErr w:type="spellEnd"/>
            <w:r w:rsidRPr="009D1261">
              <w:rPr>
                <w:color w:val="000000"/>
              </w:rPr>
              <w:t>, bulk &gt;5 cm or POD24</w:t>
            </w:r>
          </w:p>
        </w:tc>
        <w:tc>
          <w:tcPr>
            <w:tcW w:w="1244" w:type="dxa"/>
            <w:shd w:val="clear" w:color="auto" w:fill="D9D9D9"/>
          </w:tcPr>
          <w:p w14:paraId="5BD59B9C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shd w:val="clear" w:color="auto" w:fill="FFFFFF"/>
          </w:tcPr>
          <w:p w14:paraId="2CBF9B1F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</w:tcPr>
          <w:p w14:paraId="4DAEB9DF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</w:tcPr>
          <w:p w14:paraId="431D7009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</w:tr>
      <w:tr w:rsidR="00BD4DC1" w:rsidRPr="00077B16" w14:paraId="0C7C92B8" w14:textId="77777777" w:rsidTr="00BD4DC1">
        <w:trPr>
          <w:trHeight w:val="128"/>
        </w:trPr>
        <w:tc>
          <w:tcPr>
            <w:tcW w:w="2817" w:type="dxa"/>
          </w:tcPr>
          <w:p w14:paraId="4D588B71" w14:textId="654BB6FD" w:rsidR="00BD4DC1" w:rsidRPr="00BD4DC1" w:rsidRDefault="00BD4DC1" w:rsidP="00BD4DC1">
            <w:pPr>
              <w:pStyle w:val="Tabletext"/>
            </w:pPr>
            <w:r w:rsidRPr="009B018D">
              <w:t>High-risk patients starting ibrutinib had CT or PET-CT re-staging within 8–12 weeks (earlier if concerned). Lack of early response with stable or progressive disease on ibrutinib prompted an urgent referral to a CAR-T cell centre</w:t>
            </w:r>
          </w:p>
        </w:tc>
        <w:tc>
          <w:tcPr>
            <w:tcW w:w="1244" w:type="dxa"/>
            <w:shd w:val="clear" w:color="auto" w:fill="D9D9D9"/>
          </w:tcPr>
          <w:p w14:paraId="58EA3E86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shd w:val="clear" w:color="auto" w:fill="FFFFFF"/>
          </w:tcPr>
          <w:p w14:paraId="2D6D77AB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</w:tcPr>
          <w:p w14:paraId="5B949E8E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</w:tcPr>
          <w:p w14:paraId="6F9399B4" w14:textId="77777777" w:rsidR="00BD4DC1" w:rsidRPr="00077B16" w:rsidRDefault="00BD4DC1" w:rsidP="00BD4DC1">
            <w:pPr>
              <w:pStyle w:val="Tabletext"/>
              <w:rPr>
                <w:b/>
                <w:bCs/>
              </w:rPr>
            </w:pPr>
          </w:p>
        </w:tc>
      </w:tr>
    </w:tbl>
    <w:p w14:paraId="088CFB5D" w14:textId="77777777" w:rsidR="004C6370" w:rsidRPr="00077B16" w:rsidRDefault="004C6370">
      <w:pPr>
        <w:rPr>
          <w:rFonts w:cs="Arial"/>
        </w:rPr>
      </w:pPr>
    </w:p>
    <w:p w14:paraId="2393E24C" w14:textId="77777777" w:rsidR="002806C7" w:rsidRPr="00077B16" w:rsidRDefault="002806C7">
      <w:pPr>
        <w:rPr>
          <w:rFonts w:cs="Arial"/>
        </w:rPr>
      </w:pPr>
      <w:r w:rsidRPr="00077B16"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09C12F16" w:rsidR="002806C7" w:rsidRPr="009349D7" w:rsidRDefault="00BD4DC1" w:rsidP="00BD4DC1">
            <w:pPr>
              <w:pStyle w:val="Tabletext"/>
              <w:spacing w:line="360" w:lineRule="auto"/>
            </w:pPr>
            <w:r w:rsidRPr="00BD4DC1">
              <w:rPr>
                <w:rFonts w:cs="Arial"/>
                <w:szCs w:val="24"/>
              </w:rPr>
              <w:t>An audit of compliance with the BSH guideline (Diagnosis and management of mantle cell lymphoma)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libri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A753" w14:textId="7B340721" w:rsidR="00590DC3" w:rsidRPr="00D366F9" w:rsidRDefault="00DD172C" w:rsidP="00A02D19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</w:t>
    </w:r>
    <w:r w:rsidR="00473B28">
      <w:rPr>
        <w:rFonts w:cs="Arial"/>
        <w:sz w:val="20"/>
        <w:szCs w:val="20"/>
      </w:rPr>
      <w:tab/>
    </w:r>
    <w:r w:rsidR="00A02D19" w:rsidRPr="00A02D19">
      <w:rPr>
        <w:rFonts w:cs="Arial"/>
        <w:sz w:val="20"/>
        <w:szCs w:val="20"/>
      </w:rPr>
      <w:t>210224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3569" w14:textId="28DE8228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2336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4144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</w:t>
    </w:r>
    <w:r w:rsidR="00C5391D">
      <w:rPr>
        <w:rFonts w:cs="Arial"/>
        <w:sz w:val="20"/>
        <w:szCs w:val="20"/>
      </w:rPr>
      <w:tab/>
    </w:r>
    <w:r w:rsidR="00A02D19">
      <w:rPr>
        <w:rFonts w:cs="Arial"/>
        <w:sz w:val="20"/>
        <w:szCs w:val="20"/>
      </w:rPr>
      <w:t>210224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30FE" w14:textId="3AB0778E" w:rsidR="00590DC3" w:rsidRPr="00927185" w:rsidRDefault="00BD4DC1" w:rsidP="00927185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0B020D69" wp14:editId="297B0764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2258060" cy="662940"/>
          <wp:effectExtent l="0" t="0" r="8890" b="3810"/>
          <wp:wrapNone/>
          <wp:docPr id="248005708" name="Picture 42" descr="BSH-Logo-Straplin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BSH-Logo-Straplin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noProof/>
        <w:lang w:eastAsia="en-GB"/>
      </w:rPr>
      <w:drawing>
        <wp:inline distT="0" distB="0" distL="0" distR="0" wp14:anchorId="678F3402" wp14:editId="54BAC782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70520D"/>
    <w:multiLevelType w:val="hybridMultilevel"/>
    <w:tmpl w:val="80A49A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00CDA"/>
    <w:multiLevelType w:val="hybridMultilevel"/>
    <w:tmpl w:val="7430E3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0" w15:restartNumberingAfterBreak="0">
    <w:nsid w:val="2DC81862"/>
    <w:multiLevelType w:val="hybridMultilevel"/>
    <w:tmpl w:val="E0B4FB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5A3B58"/>
    <w:multiLevelType w:val="hybridMultilevel"/>
    <w:tmpl w:val="C4B4E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EC75DC"/>
    <w:multiLevelType w:val="hybridMultilevel"/>
    <w:tmpl w:val="78B8B1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581F8D"/>
    <w:multiLevelType w:val="hybridMultilevel"/>
    <w:tmpl w:val="8D1041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6B1746"/>
    <w:multiLevelType w:val="hybridMultilevel"/>
    <w:tmpl w:val="0784A8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1332489">
    <w:abstractNumId w:val="7"/>
  </w:num>
  <w:num w:numId="2" w16cid:durableId="1188449754">
    <w:abstractNumId w:val="26"/>
  </w:num>
  <w:num w:numId="3" w16cid:durableId="1837838498">
    <w:abstractNumId w:val="5"/>
  </w:num>
  <w:num w:numId="4" w16cid:durableId="1977566131">
    <w:abstractNumId w:val="6"/>
  </w:num>
  <w:num w:numId="5" w16cid:durableId="1911698097">
    <w:abstractNumId w:val="18"/>
  </w:num>
  <w:num w:numId="6" w16cid:durableId="1681543166">
    <w:abstractNumId w:val="31"/>
  </w:num>
  <w:num w:numId="7" w16cid:durableId="2110732581">
    <w:abstractNumId w:val="11"/>
  </w:num>
  <w:num w:numId="8" w16cid:durableId="150567517">
    <w:abstractNumId w:val="21"/>
  </w:num>
  <w:num w:numId="9" w16cid:durableId="118693893">
    <w:abstractNumId w:val="12"/>
  </w:num>
  <w:num w:numId="10" w16cid:durableId="356666159">
    <w:abstractNumId w:val="1"/>
  </w:num>
  <w:num w:numId="11" w16cid:durableId="13655170">
    <w:abstractNumId w:val="30"/>
  </w:num>
  <w:num w:numId="12" w16cid:durableId="937830974">
    <w:abstractNumId w:val="35"/>
  </w:num>
  <w:num w:numId="13" w16cid:durableId="1311669074">
    <w:abstractNumId w:val="28"/>
  </w:num>
  <w:num w:numId="14" w16cid:durableId="1241059685">
    <w:abstractNumId w:val="27"/>
  </w:num>
  <w:num w:numId="15" w16cid:durableId="2138598035">
    <w:abstractNumId w:val="2"/>
  </w:num>
  <w:num w:numId="16" w16cid:durableId="1676764879">
    <w:abstractNumId w:val="37"/>
  </w:num>
  <w:num w:numId="17" w16cid:durableId="1758669902">
    <w:abstractNumId w:val="25"/>
  </w:num>
  <w:num w:numId="18" w16cid:durableId="1935357735">
    <w:abstractNumId w:val="9"/>
  </w:num>
  <w:num w:numId="19" w16cid:durableId="382631689">
    <w:abstractNumId w:val="33"/>
  </w:num>
  <w:num w:numId="20" w16cid:durableId="1163424478">
    <w:abstractNumId w:val="24"/>
  </w:num>
  <w:num w:numId="21" w16cid:durableId="156192729">
    <w:abstractNumId w:val="19"/>
  </w:num>
  <w:num w:numId="22" w16cid:durableId="1930310314">
    <w:abstractNumId w:val="32"/>
  </w:num>
  <w:num w:numId="23" w16cid:durableId="922880505">
    <w:abstractNumId w:val="23"/>
  </w:num>
  <w:num w:numId="24" w16cid:durableId="661615937">
    <w:abstractNumId w:val="14"/>
  </w:num>
  <w:num w:numId="25" w16cid:durableId="1329015147">
    <w:abstractNumId w:val="3"/>
  </w:num>
  <w:num w:numId="26" w16cid:durableId="214778267">
    <w:abstractNumId w:val="10"/>
  </w:num>
  <w:num w:numId="27" w16cid:durableId="1755466984">
    <w:abstractNumId w:val="13"/>
  </w:num>
  <w:num w:numId="28" w16cid:durableId="1748458345">
    <w:abstractNumId w:val="8"/>
  </w:num>
  <w:num w:numId="29" w16cid:durableId="1067455065">
    <w:abstractNumId w:val="4"/>
  </w:num>
  <w:num w:numId="30" w16cid:durableId="1740667139">
    <w:abstractNumId w:val="16"/>
  </w:num>
  <w:num w:numId="31" w16cid:durableId="797454649">
    <w:abstractNumId w:val="0"/>
  </w:num>
  <w:num w:numId="32" w16cid:durableId="1507790813">
    <w:abstractNumId w:val="22"/>
  </w:num>
  <w:num w:numId="33" w16cid:durableId="606697441">
    <w:abstractNumId w:val="34"/>
  </w:num>
  <w:num w:numId="34" w16cid:durableId="1991134480">
    <w:abstractNumId w:val="17"/>
  </w:num>
  <w:num w:numId="35" w16cid:durableId="358120539">
    <w:abstractNumId w:val="36"/>
  </w:num>
  <w:num w:numId="36" w16cid:durableId="1296062495">
    <w:abstractNumId w:val="29"/>
  </w:num>
  <w:num w:numId="37" w16cid:durableId="813914622">
    <w:abstractNumId w:val="15"/>
  </w:num>
  <w:num w:numId="38" w16cid:durableId="75505785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D7C6A"/>
    <w:rsid w:val="000E2004"/>
    <w:rsid w:val="000E42F5"/>
    <w:rsid w:val="000F4D77"/>
    <w:rsid w:val="0014563E"/>
    <w:rsid w:val="001657DC"/>
    <w:rsid w:val="00167FA9"/>
    <w:rsid w:val="00176346"/>
    <w:rsid w:val="00194E27"/>
    <w:rsid w:val="001F037A"/>
    <w:rsid w:val="002020DA"/>
    <w:rsid w:val="0020390E"/>
    <w:rsid w:val="002045D7"/>
    <w:rsid w:val="002119F3"/>
    <w:rsid w:val="00214938"/>
    <w:rsid w:val="00230059"/>
    <w:rsid w:val="00234879"/>
    <w:rsid w:val="00253E1A"/>
    <w:rsid w:val="0025747C"/>
    <w:rsid w:val="002806C7"/>
    <w:rsid w:val="002810CB"/>
    <w:rsid w:val="002851D7"/>
    <w:rsid w:val="00290FEE"/>
    <w:rsid w:val="0029610F"/>
    <w:rsid w:val="002A0090"/>
    <w:rsid w:val="002A293B"/>
    <w:rsid w:val="002F5E08"/>
    <w:rsid w:val="00327320"/>
    <w:rsid w:val="00333833"/>
    <w:rsid w:val="00363010"/>
    <w:rsid w:val="00373A0F"/>
    <w:rsid w:val="0037430B"/>
    <w:rsid w:val="00383EC0"/>
    <w:rsid w:val="00390ACD"/>
    <w:rsid w:val="00395582"/>
    <w:rsid w:val="003A33FE"/>
    <w:rsid w:val="003B186F"/>
    <w:rsid w:val="003B4471"/>
    <w:rsid w:val="003D3B96"/>
    <w:rsid w:val="003E4192"/>
    <w:rsid w:val="004039FC"/>
    <w:rsid w:val="00406950"/>
    <w:rsid w:val="004118BE"/>
    <w:rsid w:val="00436FD4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61723"/>
    <w:rsid w:val="00590DC3"/>
    <w:rsid w:val="005A2C0F"/>
    <w:rsid w:val="005A2D91"/>
    <w:rsid w:val="005C7333"/>
    <w:rsid w:val="005D3173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8302D"/>
    <w:rsid w:val="00690DA4"/>
    <w:rsid w:val="00690DDF"/>
    <w:rsid w:val="0069652F"/>
    <w:rsid w:val="006B091F"/>
    <w:rsid w:val="006B136F"/>
    <w:rsid w:val="006B32B1"/>
    <w:rsid w:val="006D4E64"/>
    <w:rsid w:val="006E2AD5"/>
    <w:rsid w:val="007114AC"/>
    <w:rsid w:val="0071269F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F21DF"/>
    <w:rsid w:val="008015D7"/>
    <w:rsid w:val="00813B20"/>
    <w:rsid w:val="008317B0"/>
    <w:rsid w:val="00835EBE"/>
    <w:rsid w:val="00855773"/>
    <w:rsid w:val="00860AF9"/>
    <w:rsid w:val="008628C3"/>
    <w:rsid w:val="00875EC4"/>
    <w:rsid w:val="00876760"/>
    <w:rsid w:val="00884B47"/>
    <w:rsid w:val="0089524E"/>
    <w:rsid w:val="008D69A3"/>
    <w:rsid w:val="008E542F"/>
    <w:rsid w:val="008E5933"/>
    <w:rsid w:val="00903337"/>
    <w:rsid w:val="0091017D"/>
    <w:rsid w:val="00927185"/>
    <w:rsid w:val="00930859"/>
    <w:rsid w:val="009309DD"/>
    <w:rsid w:val="009349D7"/>
    <w:rsid w:val="00940136"/>
    <w:rsid w:val="00952DFE"/>
    <w:rsid w:val="00962491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02D19"/>
    <w:rsid w:val="00A35011"/>
    <w:rsid w:val="00A4630E"/>
    <w:rsid w:val="00A6672C"/>
    <w:rsid w:val="00A91137"/>
    <w:rsid w:val="00A9492C"/>
    <w:rsid w:val="00AB2EA4"/>
    <w:rsid w:val="00AC3558"/>
    <w:rsid w:val="00AD28E3"/>
    <w:rsid w:val="00AE34E0"/>
    <w:rsid w:val="00B10E5A"/>
    <w:rsid w:val="00B1219C"/>
    <w:rsid w:val="00B24EE4"/>
    <w:rsid w:val="00B420AD"/>
    <w:rsid w:val="00B45883"/>
    <w:rsid w:val="00B764BA"/>
    <w:rsid w:val="00B93EB4"/>
    <w:rsid w:val="00BB175C"/>
    <w:rsid w:val="00BC07AD"/>
    <w:rsid w:val="00BC3490"/>
    <w:rsid w:val="00BD4DC1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5391D"/>
    <w:rsid w:val="00C55A88"/>
    <w:rsid w:val="00C863A4"/>
    <w:rsid w:val="00C87E39"/>
    <w:rsid w:val="00CA3D4B"/>
    <w:rsid w:val="00CB28BE"/>
    <w:rsid w:val="00CB3A48"/>
    <w:rsid w:val="00CC60DB"/>
    <w:rsid w:val="00D2267A"/>
    <w:rsid w:val="00D25ED8"/>
    <w:rsid w:val="00D366F9"/>
    <w:rsid w:val="00D445BA"/>
    <w:rsid w:val="00D46868"/>
    <w:rsid w:val="00D6143F"/>
    <w:rsid w:val="00D718AF"/>
    <w:rsid w:val="00D81762"/>
    <w:rsid w:val="00D8550C"/>
    <w:rsid w:val="00D97233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21070"/>
    <w:rsid w:val="00E3625C"/>
    <w:rsid w:val="00E53AD8"/>
    <w:rsid w:val="00E56306"/>
    <w:rsid w:val="00E57653"/>
    <w:rsid w:val="00E7343E"/>
    <w:rsid w:val="00E943DB"/>
    <w:rsid w:val="00EA77C0"/>
    <w:rsid w:val="00EB13C8"/>
    <w:rsid w:val="00EB334F"/>
    <w:rsid w:val="00EB5E7F"/>
    <w:rsid w:val="00EC78D4"/>
    <w:rsid w:val="00ED4617"/>
    <w:rsid w:val="00ED7D35"/>
    <w:rsid w:val="00EE42BE"/>
    <w:rsid w:val="00EF6FB6"/>
    <w:rsid w:val="00F10036"/>
    <w:rsid w:val="00F138DB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876760"/>
    <w:pPr>
      <w:numPr>
        <w:numId w:val="31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8dd6b1-1bdd-48bc-8338-3b4e6df3a7a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2A1869ABF664495F6F7442ED8905E" ma:contentTypeVersion="14" ma:contentTypeDescription="Create a new document." ma:contentTypeScope="" ma:versionID="1bdb9a9f285864c471c98fdf3221c7b4">
  <xsd:schema xmlns:xsd="http://www.w3.org/2001/XMLSchema" xmlns:xs="http://www.w3.org/2001/XMLSchema" xmlns:p="http://schemas.microsoft.com/office/2006/metadata/properties" xmlns:ns3="8a8dd6b1-1bdd-48bc-8338-3b4e6df3a7a2" xmlns:ns4="ece0de11-34b2-45db-9861-7f336bb59a73" targetNamespace="http://schemas.microsoft.com/office/2006/metadata/properties" ma:root="true" ma:fieldsID="50b246053a77af052dc15b59e962ca95" ns3:_="" ns4:_="">
    <xsd:import namespace="8a8dd6b1-1bdd-48bc-8338-3b4e6df3a7a2"/>
    <xsd:import namespace="ece0de11-34b2-45db-9861-7f336bb59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dd6b1-1bdd-48bc-8338-3b4e6df3a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de11-34b2-45db-9861-7f336bb59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9F464-91B5-4640-8604-589C3727768D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ece0de11-34b2-45db-9861-7f336bb59a73"/>
    <ds:schemaRef ds:uri="http://schemas.openxmlformats.org/package/2006/metadata/core-properties"/>
    <ds:schemaRef ds:uri="http://schemas.microsoft.com/office/infopath/2007/PartnerControls"/>
    <ds:schemaRef ds:uri="8a8dd6b1-1bdd-48bc-8338-3b4e6df3a7a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D6FC5D-0708-43BB-AB2D-EBA244F0F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dd6b1-1bdd-48bc-8338-3b4e6df3a7a2"/>
    <ds:schemaRef ds:uri="ece0de11-34b2-45db-9861-7f336bb5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0</TotalTime>
  <Pages>9</Pages>
  <Words>1105</Words>
  <Characters>6910</Characters>
  <Application>Microsoft Office Word</Application>
  <DocSecurity>4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Reece Carfrae</cp:lastModifiedBy>
  <cp:revision>2</cp:revision>
  <cp:lastPrinted>2011-10-27T15:55:00Z</cp:lastPrinted>
  <dcterms:created xsi:type="dcterms:W3CDTF">2024-02-22T14:41:00Z</dcterms:created>
  <dcterms:modified xsi:type="dcterms:W3CDTF">2024-02-22T14:41:00Z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0x0101007622A1869ABF664495F6F7442ED8905E</vt:lpwstr>
  </property>
</Properties>
</file>