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DC6A5" w14:textId="2C088B03" w:rsidR="00D445BA" w:rsidRPr="00077B16" w:rsidRDefault="00D445BA" w:rsidP="00876760">
      <w:pPr>
        <w:pStyle w:val="Heading2"/>
      </w:pPr>
      <w:r w:rsidRPr="00077B16">
        <w:t>Cellular pathology 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7"/>
        <w:gridCol w:w="7891"/>
      </w:tblGrid>
      <w:tr w:rsidR="009F45A0" w:rsidRPr="00077B16" w14:paraId="12ECF8AC" w14:textId="77777777" w:rsidTr="0025747C">
        <w:trPr>
          <w:trHeight w:val="78"/>
        </w:trPr>
        <w:tc>
          <w:tcPr>
            <w:tcW w:w="1668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8186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25747C">
        <w:trPr>
          <w:trHeight w:val="469"/>
        </w:trPr>
        <w:tc>
          <w:tcPr>
            <w:tcW w:w="1668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8186" w:type="dxa"/>
          </w:tcPr>
          <w:p w14:paraId="086A57F6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9F45A0" w:rsidRPr="00077B16" w14:paraId="3ED98884" w14:textId="77777777" w:rsidTr="0025747C">
        <w:trPr>
          <w:trHeight w:val="58"/>
        </w:trPr>
        <w:tc>
          <w:tcPr>
            <w:tcW w:w="1668" w:type="dxa"/>
          </w:tcPr>
          <w:p w14:paraId="5E61ADFA" w14:textId="77777777" w:rsidR="009F45A0" w:rsidRPr="009349D7" w:rsidRDefault="009F45A0" w:rsidP="00876760">
            <w:pPr>
              <w:pStyle w:val="Rowheading"/>
            </w:pPr>
            <w:r w:rsidRPr="009349D7">
              <w:t>Specialty</w:t>
            </w:r>
          </w:p>
        </w:tc>
        <w:tc>
          <w:tcPr>
            <w:tcW w:w="8186" w:type="dxa"/>
          </w:tcPr>
          <w:p w14:paraId="645C2A8E" w14:textId="1E665643" w:rsidR="009F45A0" w:rsidRPr="009349D7" w:rsidRDefault="001A6DBC" w:rsidP="00952DFE">
            <w:r>
              <w:t>Haematology</w:t>
            </w:r>
          </w:p>
        </w:tc>
      </w:tr>
      <w:tr w:rsidR="00690DA4" w:rsidRPr="00077B16" w14:paraId="13EFC558" w14:textId="77777777" w:rsidTr="0025747C">
        <w:trPr>
          <w:trHeight w:val="469"/>
        </w:trPr>
        <w:tc>
          <w:tcPr>
            <w:tcW w:w="1668" w:type="dxa"/>
          </w:tcPr>
          <w:p w14:paraId="3A56FE41" w14:textId="77777777" w:rsidR="00690DA4" w:rsidRPr="009349D7" w:rsidRDefault="00690DA4" w:rsidP="00876760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8186" w:type="dxa"/>
          </w:tcPr>
          <w:p w14:paraId="557F6919" w14:textId="24AF7D3B" w:rsidR="00690DA4" w:rsidRPr="009349D7" w:rsidRDefault="001A6DBC" w:rsidP="00952DFE">
            <w:r>
              <w:t>An audit of compliance with the British Society for Haematology guideline for the management of newly diagnosed large B-cell lymphoma</w:t>
            </w:r>
          </w:p>
        </w:tc>
      </w:tr>
      <w:tr w:rsidR="009F45A0" w:rsidRPr="00077B16" w14:paraId="2B750D7A" w14:textId="77777777" w:rsidTr="0025747C">
        <w:trPr>
          <w:trHeight w:val="469"/>
        </w:trPr>
        <w:tc>
          <w:tcPr>
            <w:tcW w:w="1668" w:type="dxa"/>
          </w:tcPr>
          <w:p w14:paraId="70726B9A" w14:textId="77777777" w:rsidR="009F45A0" w:rsidRPr="009349D7" w:rsidRDefault="009F45A0" w:rsidP="00876760">
            <w:pPr>
              <w:pStyle w:val="Rowheading"/>
            </w:pPr>
            <w:r w:rsidRPr="009349D7">
              <w:t>Background</w:t>
            </w:r>
          </w:p>
        </w:tc>
        <w:tc>
          <w:tcPr>
            <w:tcW w:w="8186" w:type="dxa"/>
          </w:tcPr>
          <w:p w14:paraId="63BED818" w14:textId="0AEE142B" w:rsidR="009F45A0" w:rsidRPr="009349D7" w:rsidRDefault="00036AD1" w:rsidP="00952DFE">
            <w:r>
              <w:t xml:space="preserve">The British Society for Haematology (BSH) was published revised guidance on </w:t>
            </w:r>
            <w:r w:rsidR="00A219B0">
              <w:t>the management of newly diagnosed large B-cell lymphoma (LBCL). This audit will review compliance with some of the level 1 recommendations made.</w:t>
            </w:r>
          </w:p>
        </w:tc>
      </w:tr>
      <w:tr w:rsidR="00F910E7" w:rsidRPr="00077B16" w14:paraId="0F7C86E3" w14:textId="77777777" w:rsidTr="0025747C">
        <w:trPr>
          <w:trHeight w:val="469"/>
        </w:trPr>
        <w:tc>
          <w:tcPr>
            <w:tcW w:w="1668" w:type="dxa"/>
          </w:tcPr>
          <w:p w14:paraId="4492C55B" w14:textId="121BA009" w:rsidR="00F910E7" w:rsidRPr="009349D7" w:rsidRDefault="00F910E7" w:rsidP="00876760">
            <w:pPr>
              <w:pStyle w:val="Rowheading"/>
            </w:pPr>
            <w:r w:rsidRPr="009349D7">
              <w:t xml:space="preserve">Aim </w:t>
            </w:r>
            <w:r w:rsidR="0020390E" w:rsidRPr="009349D7">
              <w:t>&amp;</w:t>
            </w:r>
            <w:r w:rsidRPr="009349D7">
              <w:t xml:space="preserve"> objectives</w:t>
            </w:r>
          </w:p>
        </w:tc>
        <w:tc>
          <w:tcPr>
            <w:tcW w:w="8186" w:type="dxa"/>
          </w:tcPr>
          <w:p w14:paraId="7C9570A1" w14:textId="4CD1483F" w:rsidR="00383EC0" w:rsidRPr="009349D7" w:rsidRDefault="00383EC0" w:rsidP="00952DFE">
            <w:r w:rsidRPr="009349D7">
              <w:t>This audit template is a tool to</w:t>
            </w:r>
            <w:r w:rsidR="00871165">
              <w:t xml:space="preserve"> audit </w:t>
            </w:r>
            <w:r w:rsidR="004B498E">
              <w:t>degree of adherence to</w:t>
            </w:r>
            <w:r w:rsidRPr="009349D7">
              <w:t>:</w:t>
            </w:r>
          </w:p>
          <w:p w14:paraId="717C4E51" w14:textId="647E2853" w:rsidR="00F910E7" w:rsidRDefault="00B40DA0" w:rsidP="00B40DA0">
            <w:pPr>
              <w:pStyle w:val="Numberedlist"/>
            </w:pPr>
            <w:r>
              <w:t>r</w:t>
            </w:r>
            <w:r w:rsidR="004B498E">
              <w:t>ecommended investigations in the diagnosis of newly diagnosed</w:t>
            </w:r>
            <w:r>
              <w:t xml:space="preserve"> </w:t>
            </w:r>
            <w:r w:rsidR="004B498E">
              <w:t>LBCL</w:t>
            </w:r>
          </w:p>
          <w:p w14:paraId="4DAA0B33" w14:textId="7B472BFA" w:rsidR="00B40DA0" w:rsidRPr="00B40DA0" w:rsidRDefault="00B40DA0" w:rsidP="00426A8C">
            <w:pPr>
              <w:pStyle w:val="Numberedlist"/>
            </w:pPr>
            <w:r>
              <w:t>recommended clinical management of patients with newly diagnosed LBCL.</w:t>
            </w:r>
          </w:p>
        </w:tc>
      </w:tr>
      <w:tr w:rsidR="009F45A0" w:rsidRPr="00077B16" w14:paraId="4FF25260" w14:textId="77777777" w:rsidTr="0025747C">
        <w:trPr>
          <w:trHeight w:val="119"/>
        </w:trPr>
        <w:tc>
          <w:tcPr>
            <w:tcW w:w="1668" w:type="dxa"/>
          </w:tcPr>
          <w:p w14:paraId="374F6066" w14:textId="664AEB7E" w:rsidR="009F45A0" w:rsidRPr="009349D7" w:rsidRDefault="009F45A0" w:rsidP="00876760">
            <w:pPr>
              <w:pStyle w:val="Rowheading"/>
            </w:pPr>
            <w:r w:rsidRPr="009349D7">
              <w:t xml:space="preserve">Standards </w:t>
            </w:r>
            <w:r w:rsidR="0020390E" w:rsidRPr="009349D7">
              <w:t>&amp;</w:t>
            </w:r>
            <w:r w:rsidRPr="009349D7">
              <w:t xml:space="preserve"> criteria</w:t>
            </w:r>
          </w:p>
        </w:tc>
        <w:tc>
          <w:tcPr>
            <w:tcW w:w="8186" w:type="dxa"/>
          </w:tcPr>
          <w:p w14:paraId="4C396F2F" w14:textId="77777777" w:rsidR="008317B0" w:rsidRDefault="004B18E0" w:rsidP="00952DFE">
            <w:pPr>
              <w:rPr>
                <w:bCs/>
              </w:rPr>
            </w:pPr>
            <w:r w:rsidRPr="009349D7">
              <w:rPr>
                <w:b/>
              </w:rPr>
              <w:t xml:space="preserve">Criteria range: </w:t>
            </w:r>
            <w:r w:rsidR="00B40DA0" w:rsidRPr="00B40DA0">
              <w:rPr>
                <w:bCs/>
              </w:rPr>
              <w:t>100%, or if variance observed, there is explanatory documentation in the case notes.</w:t>
            </w:r>
          </w:p>
          <w:p w14:paraId="5E6539C8" w14:textId="77777777" w:rsidR="00B40DA0" w:rsidRDefault="000E1997" w:rsidP="00952DFE">
            <w:pPr>
              <w:rPr>
                <w:b/>
                <w:bCs/>
              </w:rPr>
            </w:pPr>
            <w:r w:rsidRPr="000E1997">
              <w:rPr>
                <w:b/>
                <w:bCs/>
              </w:rPr>
              <w:t>Diagnosis and baseline investigations</w:t>
            </w:r>
          </w:p>
          <w:p w14:paraId="04FC8655" w14:textId="77777777" w:rsidR="008A1A2E" w:rsidRDefault="000E1997" w:rsidP="00426A8C">
            <w:pPr>
              <w:pStyle w:val="Numberedlist"/>
              <w:numPr>
                <w:ilvl w:val="0"/>
                <w:numId w:val="3"/>
              </w:numPr>
              <w:ind w:left="425" w:hanging="425"/>
            </w:pPr>
            <w:r>
              <w:t>Discuss all diagnoses and treatment plans at a fully constituted haemato-oncology multidisciplinary team (MDT) meeting.</w:t>
            </w:r>
          </w:p>
          <w:p w14:paraId="62B7A4FC" w14:textId="77777777" w:rsidR="00B13FDB" w:rsidRDefault="008A1A2E" w:rsidP="00426A8C">
            <w:pPr>
              <w:pStyle w:val="Numberedlist"/>
              <w:numPr>
                <w:ilvl w:val="0"/>
                <w:numId w:val="3"/>
              </w:numPr>
              <w:ind w:left="425" w:hanging="425"/>
            </w:pPr>
            <w:r w:rsidRPr="008A1A2E">
              <w:lastRenderedPageBreak/>
              <w:t>All patients should have tests for serum lactate dehydrogenase (LDH) and full serology for hepatitis B virus (HBV), hepatitis C virus (HCV) and human immunodeficiency virus (HIV)</w:t>
            </w:r>
            <w:r>
              <w:t>.</w:t>
            </w:r>
          </w:p>
          <w:p w14:paraId="6984C69F" w14:textId="77B381FA" w:rsidR="00B13FDB" w:rsidRPr="00B13FDB" w:rsidRDefault="00B13FDB" w:rsidP="00426A8C">
            <w:pPr>
              <w:pStyle w:val="Numberedlist"/>
              <w:numPr>
                <w:ilvl w:val="0"/>
                <w:numId w:val="3"/>
              </w:numPr>
              <w:ind w:left="425" w:hanging="425"/>
            </w:pPr>
            <w:r w:rsidRPr="00B13FDB">
              <w:rPr>
                <w:color w:val="000000"/>
              </w:rPr>
              <w:t>Baseline whole body positron emission tomography-computed tomography (PET</w:t>
            </w:r>
            <w:r w:rsidRPr="00B13FDB">
              <w:rPr>
                <w:color w:val="000000"/>
              </w:rPr>
              <w:noBreakHyphen/>
              <w:t>CT) should be performed for all patient</w:t>
            </w:r>
            <w:r>
              <w:rPr>
                <w:color w:val="000000"/>
              </w:rPr>
              <w:t>s.</w:t>
            </w:r>
          </w:p>
          <w:p w14:paraId="7D4319A0" w14:textId="37D902EE" w:rsidR="00B13FDB" w:rsidRPr="00B13FDB" w:rsidRDefault="00B13FDB" w:rsidP="00426A8C">
            <w:pPr>
              <w:pStyle w:val="Numberedlist"/>
              <w:numPr>
                <w:ilvl w:val="0"/>
                <w:numId w:val="3"/>
              </w:numPr>
              <w:ind w:left="425" w:hanging="425"/>
            </w:pPr>
            <w:r w:rsidRPr="00B13FDB">
              <w:rPr>
                <w:color w:val="000000"/>
              </w:rPr>
              <w:t>Baseline electrocardiogram (ECG) should be performed on all patient</w:t>
            </w:r>
            <w:r>
              <w:rPr>
                <w:color w:val="000000"/>
              </w:rPr>
              <w:t>s.</w:t>
            </w:r>
          </w:p>
          <w:p w14:paraId="2879598C" w14:textId="77777777" w:rsidR="00B13FDB" w:rsidRPr="00B13FDB" w:rsidRDefault="00B13FDB" w:rsidP="00426A8C">
            <w:pPr>
              <w:pStyle w:val="Numberedlist"/>
              <w:numPr>
                <w:ilvl w:val="0"/>
                <w:numId w:val="3"/>
              </w:numPr>
              <w:ind w:left="425" w:hanging="425"/>
            </w:pPr>
            <w:r w:rsidRPr="00B13FDB">
              <w:rPr>
                <w:color w:val="000000"/>
              </w:rPr>
              <w:t>Eastern Cooperative Oncology Group (ECOG) performance status (PS) and International Prognostic Index (IPI) scores should be recorded for all patient</w:t>
            </w:r>
            <w:r>
              <w:rPr>
                <w:color w:val="000000"/>
              </w:rPr>
              <w:t>s.</w:t>
            </w:r>
          </w:p>
          <w:p w14:paraId="6F068C5C" w14:textId="1B52323D" w:rsidR="00B13FDB" w:rsidRPr="00B13FDB" w:rsidRDefault="00B13FDB" w:rsidP="00426A8C">
            <w:pPr>
              <w:pStyle w:val="Numberedlist"/>
              <w:numPr>
                <w:ilvl w:val="0"/>
                <w:numId w:val="3"/>
              </w:numPr>
              <w:ind w:left="425" w:hanging="425"/>
            </w:pPr>
            <w:r w:rsidRPr="00B13FDB">
              <w:rPr>
                <w:color w:val="000000"/>
              </w:rPr>
              <w:t xml:space="preserve">Fluorescence in situ hybridisation (FISH) for </w:t>
            </w:r>
            <w:r w:rsidRPr="00B13FDB">
              <w:rPr>
                <w:i/>
                <w:iCs/>
                <w:color w:val="000000"/>
              </w:rPr>
              <w:t>MYC</w:t>
            </w:r>
            <w:r w:rsidRPr="00B13FDB">
              <w:rPr>
                <w:color w:val="000000"/>
              </w:rPr>
              <w:t xml:space="preserve"> rearrangements should be performed</w:t>
            </w:r>
            <w:r>
              <w:rPr>
                <w:color w:val="000000"/>
              </w:rPr>
              <w:t>.</w:t>
            </w:r>
          </w:p>
          <w:p w14:paraId="2390B7F0" w14:textId="51EA6BE6" w:rsidR="00B13FDB" w:rsidRDefault="007040FA" w:rsidP="00B13FDB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  <w:r w:rsidRPr="007040FA">
              <w:rPr>
                <w:b/>
                <w:bCs/>
              </w:rPr>
              <w:t>Supportive care</w:t>
            </w:r>
          </w:p>
          <w:p w14:paraId="3831666F" w14:textId="573BA006" w:rsidR="007040FA" w:rsidRDefault="007040FA" w:rsidP="00426A8C">
            <w:pPr>
              <w:pStyle w:val="Numberedlist"/>
              <w:numPr>
                <w:ilvl w:val="0"/>
                <w:numId w:val="4"/>
              </w:numPr>
              <w:ind w:left="425" w:hanging="425"/>
            </w:pPr>
            <w:r>
              <w:t>Primary granulocyte colony-stimulating factor (G-CSF) prophylaxis should be offered to all patients receiving chemo</w:t>
            </w:r>
            <w:r w:rsidR="006462FD">
              <w:t>-</w:t>
            </w:r>
            <w:r>
              <w:t>immunotherapy with curative intent.</w:t>
            </w:r>
          </w:p>
          <w:p w14:paraId="54321CD2" w14:textId="4391ABFB" w:rsidR="006D49DC" w:rsidRDefault="006D49DC" w:rsidP="006D49DC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  <w:r w:rsidRPr="006D49DC">
              <w:rPr>
                <w:b/>
                <w:bCs/>
              </w:rPr>
              <w:t>Stage I and II disease</w:t>
            </w:r>
          </w:p>
          <w:p w14:paraId="29D05428" w14:textId="1F65CF55" w:rsidR="006D49DC" w:rsidRPr="00AF0156" w:rsidRDefault="006D49DC" w:rsidP="00426A8C">
            <w:pPr>
              <w:pStyle w:val="Numberedlist"/>
              <w:numPr>
                <w:ilvl w:val="0"/>
                <w:numId w:val="5"/>
              </w:numPr>
              <w:ind w:left="425" w:hanging="425"/>
            </w:pPr>
            <w:r>
              <w:t xml:space="preserve">Four </w:t>
            </w:r>
            <w:r w:rsidR="00AF0156" w:rsidRPr="007751B9">
              <w:rPr>
                <w:color w:val="000000"/>
              </w:rPr>
              <w:t>cycles of rituximab, cyclophosphamide, doxorubicin</w:t>
            </w:r>
            <w:r w:rsidR="00AF0156">
              <w:rPr>
                <w:color w:val="000000"/>
              </w:rPr>
              <w:t>,</w:t>
            </w:r>
            <w:r w:rsidR="00AF0156" w:rsidRPr="007751B9">
              <w:rPr>
                <w:color w:val="000000"/>
              </w:rPr>
              <w:t xml:space="preserve"> </w:t>
            </w:r>
            <w:r w:rsidR="00AF0156" w:rsidRPr="00E6096E">
              <w:rPr>
                <w:color w:val="000000"/>
              </w:rPr>
              <w:t xml:space="preserve">vincristine </w:t>
            </w:r>
            <w:r w:rsidR="00AF0156" w:rsidRPr="007751B9">
              <w:rPr>
                <w:color w:val="000000"/>
              </w:rPr>
              <w:t>and prednisolone (R-CHOP) plus two additional infusions of rituximab should be offered to patients 18–60 years with stage I/II, age-adjusted IPI (aaIPI) 0, without bulky disease</w:t>
            </w:r>
            <w:r w:rsidR="00AF0156">
              <w:rPr>
                <w:color w:val="000000"/>
              </w:rPr>
              <w:t>.</w:t>
            </w:r>
          </w:p>
          <w:p w14:paraId="0032B843" w14:textId="33D5B428" w:rsidR="00AF0156" w:rsidRDefault="00AF0156" w:rsidP="00AF0156">
            <w:pPr>
              <w:pStyle w:val="Numberedlist"/>
              <w:numPr>
                <w:ilvl w:val="0"/>
                <w:numId w:val="0"/>
              </w:numPr>
              <w:rPr>
                <w:b/>
                <w:bCs/>
                <w:color w:val="000000"/>
              </w:rPr>
            </w:pPr>
            <w:r w:rsidRPr="006A564E">
              <w:rPr>
                <w:b/>
                <w:bCs/>
                <w:color w:val="000000"/>
              </w:rPr>
              <w:t>Primary extra-nodal LBCL</w:t>
            </w:r>
            <w:r w:rsidR="006A564E" w:rsidRPr="006A564E">
              <w:rPr>
                <w:b/>
                <w:bCs/>
                <w:color w:val="000000"/>
              </w:rPr>
              <w:t xml:space="preserve"> – </w:t>
            </w:r>
            <w:r w:rsidR="00683FD5">
              <w:rPr>
                <w:b/>
                <w:bCs/>
                <w:color w:val="000000"/>
              </w:rPr>
              <w:t>t</w:t>
            </w:r>
            <w:r w:rsidR="006A564E" w:rsidRPr="006A564E">
              <w:rPr>
                <w:b/>
                <w:bCs/>
                <w:color w:val="000000"/>
              </w:rPr>
              <w:t>esticular</w:t>
            </w:r>
          </w:p>
          <w:p w14:paraId="3C8E3461" w14:textId="2B393F28" w:rsidR="006A564E" w:rsidRDefault="00E914AF" w:rsidP="00426A8C">
            <w:pPr>
              <w:pStyle w:val="Numberedlist"/>
              <w:numPr>
                <w:ilvl w:val="0"/>
                <w:numId w:val="6"/>
              </w:numPr>
              <w:ind w:left="425" w:hanging="425"/>
            </w:pPr>
            <w:r>
              <w:t xml:space="preserve">Central nervous system (CNS) prophylaxis should be offered, guided by the current BSH </w:t>
            </w:r>
            <w:r w:rsidR="00924F13">
              <w:t>G</w:t>
            </w:r>
            <w:r>
              <w:t xml:space="preserve">ood </w:t>
            </w:r>
            <w:r w:rsidR="00924F13">
              <w:t>Pr</w:t>
            </w:r>
            <w:r>
              <w:t xml:space="preserve">actice </w:t>
            </w:r>
            <w:r w:rsidR="00924F13">
              <w:t>P</w:t>
            </w:r>
            <w:r>
              <w:t>aper (GPP).</w:t>
            </w:r>
          </w:p>
          <w:p w14:paraId="6CA7D4A9" w14:textId="1DDF3FBF" w:rsidR="00924F13" w:rsidRDefault="00924F13" w:rsidP="00426A8C">
            <w:pPr>
              <w:pStyle w:val="Numberedlist"/>
              <w:numPr>
                <w:ilvl w:val="0"/>
                <w:numId w:val="6"/>
              </w:numPr>
              <w:ind w:left="425" w:hanging="425"/>
            </w:pPr>
            <w:r>
              <w:t>Contralateral testicular radiotherapy should be offered following completion of systemic therapy.</w:t>
            </w:r>
          </w:p>
          <w:p w14:paraId="01AAEDC3" w14:textId="3410EC5A" w:rsidR="00683FD5" w:rsidRDefault="00683FD5" w:rsidP="00683FD5">
            <w:pPr>
              <w:pStyle w:val="Numberedlist"/>
              <w:numPr>
                <w:ilvl w:val="0"/>
                <w:numId w:val="0"/>
              </w:numPr>
              <w:rPr>
                <w:b/>
                <w:bCs/>
                <w:color w:val="000000"/>
              </w:rPr>
            </w:pPr>
            <w:r w:rsidRPr="006A564E">
              <w:rPr>
                <w:b/>
                <w:bCs/>
                <w:color w:val="000000"/>
              </w:rPr>
              <w:t xml:space="preserve">Primary extra-nodal LBCL – </w:t>
            </w:r>
            <w:r>
              <w:rPr>
                <w:b/>
                <w:bCs/>
                <w:color w:val="000000"/>
              </w:rPr>
              <w:t>gastric</w:t>
            </w:r>
          </w:p>
          <w:p w14:paraId="4D0AC553" w14:textId="5D0216FA" w:rsidR="00683FD5" w:rsidRDefault="00683FD5" w:rsidP="00426A8C">
            <w:pPr>
              <w:pStyle w:val="Numberedlist"/>
              <w:numPr>
                <w:ilvl w:val="0"/>
                <w:numId w:val="7"/>
              </w:numPr>
              <w:ind w:left="425" w:hanging="425"/>
            </w:pPr>
            <w:r>
              <w:t xml:space="preserve">Where </w:t>
            </w:r>
            <w:r w:rsidRPr="00683FD5">
              <w:rPr>
                <w:i/>
                <w:iCs/>
              </w:rPr>
              <w:t>Helicobacter pylori</w:t>
            </w:r>
            <w:r>
              <w:rPr>
                <w:i/>
                <w:iCs/>
              </w:rPr>
              <w:t xml:space="preserve"> </w:t>
            </w:r>
            <w:r>
              <w:t>is detected, eradication therapy should be offered as per current guidance.</w:t>
            </w:r>
          </w:p>
          <w:p w14:paraId="1CD0EEBE" w14:textId="0C96B38A" w:rsidR="00ED6856" w:rsidRDefault="00ED6856" w:rsidP="00ED6856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  <w:r w:rsidRPr="00ED6856">
              <w:rPr>
                <w:b/>
                <w:bCs/>
              </w:rPr>
              <w:t>Advanced stage disease</w:t>
            </w:r>
          </w:p>
          <w:p w14:paraId="1C66175F" w14:textId="7D1BE2E9" w:rsidR="00ED6856" w:rsidRPr="00C970B9" w:rsidRDefault="009247DB" w:rsidP="00426A8C">
            <w:pPr>
              <w:pStyle w:val="Numberedlist"/>
              <w:numPr>
                <w:ilvl w:val="0"/>
                <w:numId w:val="8"/>
              </w:numPr>
              <w:ind w:left="425" w:hanging="425"/>
            </w:pPr>
            <w:r>
              <w:t>Six cycles of rituximab, cyclophosphamide, doxorubicin and prednisolone (RCHP)-pola</w:t>
            </w:r>
            <w:r w:rsidR="00AC3B74">
              <w:t xml:space="preserve">tuzumab vedotin should be offered as </w:t>
            </w:r>
            <w:r w:rsidR="00AC3B74">
              <w:lastRenderedPageBreak/>
              <w:t xml:space="preserve">first-line treatment for patients with </w:t>
            </w:r>
            <w:r w:rsidR="00AC3B74" w:rsidRPr="00AC3B74">
              <w:rPr>
                <w:i/>
                <w:iCs/>
              </w:rPr>
              <w:t>de novo</w:t>
            </w:r>
            <w:r w:rsidR="00AC3B74">
              <w:rPr>
                <w:i/>
                <w:iCs/>
              </w:rPr>
              <w:t xml:space="preserve"> </w:t>
            </w:r>
            <w:r w:rsidR="00AC3B74">
              <w:t xml:space="preserve">LBCL, fit for full-dose chemotheraphy, with an ECOG PS </w:t>
            </w:r>
            <w:r w:rsidR="00A40F8D" w:rsidRPr="007751B9">
              <w:rPr>
                <w:color w:val="000000"/>
              </w:rPr>
              <w:t>≤</w:t>
            </w:r>
            <w:r w:rsidR="00A40F8D">
              <w:rPr>
                <w:color w:val="000000"/>
              </w:rPr>
              <w:t xml:space="preserve">2 and an IPI score of </w:t>
            </w:r>
            <w:r w:rsidR="00C970B9" w:rsidRPr="007751B9">
              <w:rPr>
                <w:color w:val="000000"/>
              </w:rPr>
              <w:t>2–5</w:t>
            </w:r>
            <w:r w:rsidR="00C970B9">
              <w:rPr>
                <w:color w:val="000000"/>
              </w:rPr>
              <w:t>.</w:t>
            </w:r>
          </w:p>
          <w:p w14:paraId="04AE6600" w14:textId="772A13D2" w:rsidR="00C970B9" w:rsidRDefault="00C970B9" w:rsidP="00426A8C">
            <w:pPr>
              <w:pStyle w:val="Numberedlist"/>
              <w:numPr>
                <w:ilvl w:val="0"/>
                <w:numId w:val="8"/>
              </w:numPr>
              <w:ind w:left="425" w:hanging="425"/>
            </w:pPr>
            <w:r>
              <w:t>Six cycles of R-CHOP should be offered as first-line treatment for patients with stage III/IV disease and an IPI score of 1.</w:t>
            </w:r>
          </w:p>
          <w:p w14:paraId="6B5B8EDA" w14:textId="1E7B7168" w:rsidR="008F0985" w:rsidRDefault="008F0985" w:rsidP="008F0985">
            <w:pPr>
              <w:pStyle w:val="Numberedlist"/>
              <w:numPr>
                <w:ilvl w:val="0"/>
                <w:numId w:val="0"/>
              </w:numPr>
              <w:rPr>
                <w:b/>
                <w:bCs/>
              </w:rPr>
            </w:pPr>
            <w:r w:rsidRPr="008F0985">
              <w:rPr>
                <w:b/>
                <w:bCs/>
              </w:rPr>
              <w:t>Older patients and those with co-morbid conditions</w:t>
            </w:r>
          </w:p>
          <w:p w14:paraId="08D964A6" w14:textId="0D39B648" w:rsidR="008F0985" w:rsidRDefault="008F0985" w:rsidP="00426A8C">
            <w:pPr>
              <w:numPr>
                <w:ilvl w:val="0"/>
                <w:numId w:val="9"/>
              </w:numPr>
              <w:rPr>
                <w:rFonts w:cs="Arial"/>
                <w:color w:val="000000"/>
              </w:rPr>
            </w:pPr>
            <w:r>
              <w:t>R-miniCHOP (50% dosing of cyclophosphamide [400 mg/m</w:t>
            </w:r>
            <w:r w:rsidRPr="008F0985">
              <w:rPr>
                <w:vertAlign w:val="superscript"/>
              </w:rPr>
              <w:t>2</w:t>
            </w:r>
            <w:r w:rsidRPr="008F0985">
              <w:t>]</w:t>
            </w:r>
            <w:r w:rsidR="00816FEB">
              <w:t xml:space="preserve">, </w:t>
            </w:r>
            <w:r w:rsidR="00A251B6" w:rsidRPr="007751B9">
              <w:rPr>
                <w:rFonts w:cs="Arial"/>
                <w:color w:val="000000"/>
              </w:rPr>
              <w:t>doxorubicin [25 mg/m</w:t>
            </w:r>
            <w:r w:rsidR="00A251B6" w:rsidRPr="007751B9">
              <w:rPr>
                <w:rFonts w:cs="Arial"/>
                <w:color w:val="000000"/>
                <w:vertAlign w:val="superscript"/>
              </w:rPr>
              <w:t>2</w:t>
            </w:r>
            <w:r w:rsidR="00A251B6" w:rsidRPr="007751B9">
              <w:rPr>
                <w:rFonts w:cs="Arial"/>
                <w:color w:val="000000"/>
              </w:rPr>
              <w:t xml:space="preserve">] and vincristine [1 mg]) should be offered to patients ≥80 years </w:t>
            </w:r>
            <w:r w:rsidR="00A251B6">
              <w:rPr>
                <w:rFonts w:cs="Arial"/>
                <w:color w:val="000000"/>
              </w:rPr>
              <w:t>and suitable for anthracycline.</w:t>
            </w:r>
          </w:p>
          <w:p w14:paraId="36AFEA1C" w14:textId="5FCC4A22" w:rsidR="00A251B6" w:rsidRDefault="00D75250" w:rsidP="00426A8C">
            <w:pPr>
              <w:numPr>
                <w:ilvl w:val="0"/>
                <w:numId w:val="9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  <w:r w:rsidRPr="00B91E70">
              <w:rPr>
                <w:rFonts w:cs="Arial"/>
                <w:color w:val="000000"/>
              </w:rPr>
              <w:t>on-anthracycline-based regimen</w:t>
            </w:r>
            <w:r>
              <w:rPr>
                <w:rFonts w:cs="Arial"/>
                <w:color w:val="000000"/>
              </w:rPr>
              <w:t>s should be offered to</w:t>
            </w:r>
            <w:r w:rsidRPr="00B91E70">
              <w:rPr>
                <w:rFonts w:cs="Arial"/>
                <w:color w:val="000000"/>
              </w:rPr>
              <w:t xml:space="preserve"> patients with cardiac co</w:t>
            </w:r>
            <w:r>
              <w:rPr>
                <w:rFonts w:cs="Arial"/>
                <w:color w:val="000000"/>
              </w:rPr>
              <w:noBreakHyphen/>
            </w:r>
            <w:r w:rsidRPr="00B91E70">
              <w:rPr>
                <w:rFonts w:cs="Arial"/>
                <w:color w:val="000000"/>
              </w:rPr>
              <w:t>morbidities unsuitable for anthracyclines</w:t>
            </w:r>
            <w:r>
              <w:rPr>
                <w:rFonts w:cs="Arial"/>
                <w:color w:val="000000"/>
              </w:rPr>
              <w:t>.</w:t>
            </w:r>
          </w:p>
          <w:p w14:paraId="55FF1F01" w14:textId="42ADB74F" w:rsidR="00817A03" w:rsidRDefault="00817A03" w:rsidP="00817A03">
            <w:pPr>
              <w:rPr>
                <w:rFonts w:cs="Arial"/>
                <w:b/>
                <w:bCs/>
                <w:color w:val="000000"/>
              </w:rPr>
            </w:pPr>
            <w:r w:rsidRPr="00817A03">
              <w:rPr>
                <w:rFonts w:cs="Arial"/>
                <w:b/>
                <w:bCs/>
                <w:color w:val="000000"/>
              </w:rPr>
              <w:t>End-of-treatment response assessment and follow-up</w:t>
            </w:r>
          </w:p>
          <w:p w14:paraId="42B5E7EA" w14:textId="172FC8F8" w:rsidR="00817A03" w:rsidRDefault="002244BA" w:rsidP="00426A8C">
            <w:pPr>
              <w:numPr>
                <w:ilvl w:val="0"/>
                <w:numId w:val="10"/>
              </w:numPr>
              <w:rPr>
                <w:rFonts w:cs="Arial"/>
                <w:color w:val="000000"/>
              </w:rPr>
            </w:pPr>
            <w:r w:rsidRPr="007751B9">
              <w:rPr>
                <w:rFonts w:cs="Arial"/>
                <w:color w:val="000000"/>
              </w:rPr>
              <w:t xml:space="preserve">For patients without a complete metabolic response (CMR) on </w:t>
            </w:r>
            <w:r w:rsidRPr="00E6096E">
              <w:rPr>
                <w:rFonts w:cs="Arial"/>
                <w:color w:val="000000"/>
              </w:rPr>
              <w:t xml:space="preserve">a PET-CT following </w:t>
            </w:r>
            <w:r>
              <w:rPr>
                <w:rFonts w:cs="Arial"/>
                <w:color w:val="000000"/>
              </w:rPr>
              <w:t>2</w:t>
            </w:r>
            <w:r w:rsidRPr="00E6096E">
              <w:rPr>
                <w:rFonts w:cs="Arial"/>
                <w:color w:val="000000"/>
              </w:rPr>
              <w:t xml:space="preserve"> cycles of chemo-immunotherapy </w:t>
            </w:r>
            <w:r>
              <w:rPr>
                <w:rFonts w:cs="Arial"/>
                <w:color w:val="000000"/>
              </w:rPr>
              <w:t>(</w:t>
            </w:r>
            <w:r w:rsidRPr="007751B9">
              <w:rPr>
                <w:rFonts w:cs="Arial"/>
                <w:color w:val="000000"/>
              </w:rPr>
              <w:t>iPET2</w:t>
            </w:r>
            <w:r>
              <w:rPr>
                <w:rFonts w:cs="Arial"/>
                <w:color w:val="000000"/>
              </w:rPr>
              <w:t>)</w:t>
            </w:r>
            <w:r w:rsidRPr="007751B9">
              <w:rPr>
                <w:rFonts w:cs="Arial"/>
                <w:color w:val="000000"/>
              </w:rPr>
              <w:t xml:space="preserve"> (or for patients who have not undergone an iPET2), an end-of-treatment PET-CT scan should be performed</w:t>
            </w:r>
            <w:r>
              <w:rPr>
                <w:rFonts w:cs="Arial"/>
                <w:color w:val="000000"/>
              </w:rPr>
              <w:t>.</w:t>
            </w:r>
          </w:p>
          <w:p w14:paraId="44E2E830" w14:textId="7AC58346" w:rsidR="008A1A2E" w:rsidRPr="003720AB" w:rsidRDefault="003720AB" w:rsidP="00426A8C">
            <w:pPr>
              <w:numPr>
                <w:ilvl w:val="0"/>
                <w:numId w:val="10"/>
              </w:numPr>
              <w:rPr>
                <w:rFonts w:cs="Arial"/>
                <w:color w:val="000000"/>
              </w:rPr>
            </w:pPr>
            <w:r w:rsidRPr="007751B9">
              <w:rPr>
                <w:rFonts w:cs="Arial"/>
                <w:color w:val="000000"/>
              </w:rPr>
              <w:t>For patients with residual foci of</w:t>
            </w:r>
            <w:r>
              <w:rPr>
                <w:rFonts w:cs="Arial"/>
                <w:color w:val="000000"/>
              </w:rPr>
              <w:t xml:space="preserve"> </w:t>
            </w:r>
            <w:r w:rsidRPr="00976FC2">
              <w:rPr>
                <w:rFonts w:cs="Arial"/>
                <w:color w:val="000000"/>
              </w:rPr>
              <w:t>fluorodeoxyglucose</w:t>
            </w:r>
            <w:r w:rsidRPr="007751B9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r w:rsidRPr="007751B9">
              <w:rPr>
                <w:rFonts w:cs="Arial"/>
                <w:color w:val="000000"/>
              </w:rPr>
              <w:t>FDG</w:t>
            </w:r>
            <w:r>
              <w:rPr>
                <w:rFonts w:cs="Arial"/>
                <w:color w:val="000000"/>
              </w:rPr>
              <w:t>)</w:t>
            </w:r>
            <w:r w:rsidRPr="007751B9">
              <w:rPr>
                <w:rFonts w:cs="Arial"/>
                <w:color w:val="000000"/>
              </w:rPr>
              <w:t>-uptake, biopsy of FDG-avid lesions should be undertaken or repeat PET-CT should be offered at an 8- to 12-week interval, where tissue biopsy is not possible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8628C3" w:rsidRPr="00077B16" w14:paraId="14094681" w14:textId="77777777" w:rsidTr="00781C28">
        <w:trPr>
          <w:cantSplit/>
          <w:trHeight w:val="469"/>
        </w:trPr>
        <w:tc>
          <w:tcPr>
            <w:tcW w:w="1668" w:type="dxa"/>
          </w:tcPr>
          <w:p w14:paraId="1E4F1E05" w14:textId="77777777" w:rsidR="008628C3" w:rsidRPr="009349D7" w:rsidRDefault="008628C3" w:rsidP="00876760">
            <w:pPr>
              <w:pStyle w:val="Rowheading"/>
            </w:pPr>
            <w:r w:rsidRPr="009349D7">
              <w:lastRenderedPageBreak/>
              <w:t>Method</w:t>
            </w:r>
          </w:p>
          <w:p w14:paraId="5C3F63EE" w14:textId="77777777" w:rsidR="008628C3" w:rsidRPr="009349D7" w:rsidRDefault="008628C3" w:rsidP="009349D7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8186" w:type="dxa"/>
          </w:tcPr>
          <w:p w14:paraId="06E9918F" w14:textId="7A7CDD5E" w:rsidR="00A4630E" w:rsidRPr="009349D7" w:rsidRDefault="008628C3" w:rsidP="00952DFE">
            <w:pPr>
              <w:rPr>
                <w:b/>
              </w:rPr>
            </w:pPr>
            <w:r w:rsidRPr="009349D7">
              <w:rPr>
                <w:b/>
              </w:rPr>
              <w:t>Sample selection</w:t>
            </w:r>
            <w:r w:rsidR="00E53AD8" w:rsidRPr="009349D7">
              <w:rPr>
                <w:b/>
              </w:rPr>
              <w:t xml:space="preserve">: </w:t>
            </w:r>
            <w:r w:rsidR="00B764BA" w:rsidRPr="00952DFE">
              <w:rPr>
                <w:rStyle w:val="BodytextredfontChar"/>
              </w:rPr>
              <w:t>(To be completed by the author)</w:t>
            </w:r>
          </w:p>
          <w:p w14:paraId="21FE76E9" w14:textId="31EF1CC4" w:rsidR="00F5545F" w:rsidRPr="009349D7" w:rsidRDefault="0051663B" w:rsidP="00952DFE">
            <w:pPr>
              <w:rPr>
                <w:bCs/>
              </w:rPr>
            </w:pPr>
            <w:r w:rsidRPr="009349D7">
              <w:rPr>
                <w:bCs/>
              </w:rPr>
              <w:t xml:space="preserve">All </w:t>
            </w:r>
            <w:r w:rsidR="003B514D">
              <w:rPr>
                <w:bCs/>
              </w:rPr>
              <w:t>patients diagnosed with LBCL in the preceding 12 months.</w:t>
            </w:r>
          </w:p>
          <w:p w14:paraId="2E47D027" w14:textId="50EB6478" w:rsidR="00FA6967" w:rsidRPr="009349D7" w:rsidRDefault="00AE34E0" w:rsidP="00952DFE">
            <w:pPr>
              <w:rPr>
                <w:b/>
                <w:color w:val="000000"/>
              </w:rPr>
            </w:pPr>
            <w:r w:rsidRPr="009349D7">
              <w:rPr>
                <w:b/>
                <w:color w:val="000000"/>
              </w:rPr>
              <w:t>Data to be collected on proforma (see below).</w:t>
            </w:r>
          </w:p>
        </w:tc>
      </w:tr>
      <w:tr w:rsidR="008628C3" w:rsidRPr="00077B16" w14:paraId="4EF29E2B" w14:textId="77777777" w:rsidTr="0025747C">
        <w:trPr>
          <w:trHeight w:val="469"/>
        </w:trPr>
        <w:tc>
          <w:tcPr>
            <w:tcW w:w="1668" w:type="dxa"/>
          </w:tcPr>
          <w:p w14:paraId="42E290A4" w14:textId="77777777" w:rsidR="008628C3" w:rsidRPr="009349D7" w:rsidRDefault="008628C3" w:rsidP="00876760">
            <w:pPr>
              <w:pStyle w:val="Rowheading"/>
            </w:pPr>
            <w:r w:rsidRPr="009349D7">
              <w:t>Results</w:t>
            </w:r>
          </w:p>
        </w:tc>
        <w:tc>
          <w:tcPr>
            <w:tcW w:w="8186" w:type="dxa"/>
          </w:tcPr>
          <w:p w14:paraId="08D3ABE3" w14:textId="77777777" w:rsidR="008628C3" w:rsidRPr="009349D7" w:rsidRDefault="008628C3" w:rsidP="0029610F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3413C1F3" w:rsidR="008628C3" w:rsidRPr="009349D7" w:rsidRDefault="008628C3" w:rsidP="0029610F">
            <w:r w:rsidRPr="009349D7">
              <w:t>The results of this audit show the following</w:t>
            </w:r>
            <w:r w:rsidR="00E53AD8" w:rsidRPr="009349D7">
              <w:t xml:space="preserve"> compliance with the standards</w:t>
            </w:r>
            <w:r w:rsidR="00745A21">
              <w:t>.</w:t>
            </w:r>
          </w:p>
          <w:tbl>
            <w:tblPr>
              <w:tblW w:w="7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10"/>
              <w:gridCol w:w="1399"/>
              <w:gridCol w:w="1735"/>
              <w:gridCol w:w="1821"/>
            </w:tblGrid>
            <w:tr w:rsidR="00F245C0" w:rsidRPr="009349D7" w14:paraId="624323B5" w14:textId="77777777" w:rsidTr="00F245C0">
              <w:trPr>
                <w:trHeight w:val="300"/>
              </w:trPr>
              <w:tc>
                <w:tcPr>
                  <w:tcW w:w="2710" w:type="dxa"/>
                </w:tcPr>
                <w:p w14:paraId="34647A79" w14:textId="52643849" w:rsidR="00541988" w:rsidRPr="009349D7" w:rsidRDefault="00541988" w:rsidP="00451D14">
                  <w:pPr>
                    <w:pStyle w:val="Tablecolumnheading"/>
                  </w:pPr>
                  <w:r>
                    <w:t>Investigation</w:t>
                  </w:r>
                </w:p>
              </w:tc>
              <w:tc>
                <w:tcPr>
                  <w:tcW w:w="1399" w:type="dxa"/>
                </w:tcPr>
                <w:p w14:paraId="66506C0E" w14:textId="37A35CC5" w:rsidR="00541988" w:rsidRPr="009349D7" w:rsidRDefault="00541988" w:rsidP="0029610F">
                  <w:pPr>
                    <w:pStyle w:val="Tablecolumnheading"/>
                  </w:pPr>
                  <w:r>
                    <w:t>No. audited</w:t>
                  </w:r>
                </w:p>
              </w:tc>
              <w:tc>
                <w:tcPr>
                  <w:tcW w:w="1735" w:type="dxa"/>
                </w:tcPr>
                <w:p w14:paraId="4F87190C" w14:textId="0E0C7955" w:rsidR="00541988" w:rsidRPr="009349D7" w:rsidRDefault="00541988" w:rsidP="0029610F">
                  <w:pPr>
                    <w:pStyle w:val="Tablecolumnheading"/>
                  </w:pPr>
                  <w:r>
                    <w:t>No. compliant</w:t>
                  </w:r>
                </w:p>
              </w:tc>
              <w:tc>
                <w:tcPr>
                  <w:tcW w:w="1821" w:type="dxa"/>
                </w:tcPr>
                <w:p w14:paraId="0DBB373F" w14:textId="3EDD6C0E" w:rsidR="00541988" w:rsidRPr="009349D7" w:rsidRDefault="00541988" w:rsidP="0029610F">
                  <w:pPr>
                    <w:pStyle w:val="Tablecolumnheading"/>
                  </w:pPr>
                  <w:r w:rsidRPr="009349D7">
                    <w:t>% compliance</w:t>
                  </w:r>
                </w:p>
              </w:tc>
            </w:tr>
            <w:tr w:rsidR="00CC0B92" w:rsidRPr="009349D7" w14:paraId="26EEAC2E" w14:textId="77777777" w:rsidTr="00CC0B92">
              <w:trPr>
                <w:trHeight w:val="300"/>
              </w:trPr>
              <w:tc>
                <w:tcPr>
                  <w:tcW w:w="7665" w:type="dxa"/>
                  <w:gridSpan w:val="4"/>
                  <w:shd w:val="clear" w:color="auto" w:fill="D0CECE" w:themeFill="background2" w:themeFillShade="E6"/>
                </w:tcPr>
                <w:p w14:paraId="3E06D38D" w14:textId="124656DF" w:rsidR="00CC0B92" w:rsidRPr="009349D7" w:rsidRDefault="00CC0B92" w:rsidP="00CC0B92">
                  <w:pPr>
                    <w:pStyle w:val="Tablecolumnheading"/>
                  </w:pPr>
                  <w:r w:rsidRPr="002F58A2">
                    <w:t>Diagnosis and baseline investigations</w:t>
                  </w:r>
                </w:p>
              </w:tc>
            </w:tr>
            <w:tr w:rsidR="00F245C0" w:rsidRPr="009349D7" w14:paraId="17E1314A" w14:textId="77777777" w:rsidTr="00F245C0">
              <w:trPr>
                <w:trHeight w:val="300"/>
              </w:trPr>
              <w:tc>
                <w:tcPr>
                  <w:tcW w:w="2710" w:type="dxa"/>
                </w:tcPr>
                <w:p w14:paraId="2D502007" w14:textId="196F135D" w:rsidR="00541988" w:rsidRPr="009349D7" w:rsidRDefault="000572A2" w:rsidP="00426A8C">
                  <w:pPr>
                    <w:pStyle w:val="Numberedlist"/>
                    <w:numPr>
                      <w:ilvl w:val="0"/>
                      <w:numId w:val="12"/>
                    </w:numPr>
                    <w:ind w:left="425" w:hanging="425"/>
                  </w:pPr>
                  <w:r>
                    <w:t>A</w:t>
                  </w:r>
                  <w:r w:rsidRPr="00580A32">
                    <w:t xml:space="preserve">ll diagnoses and treatment plans </w:t>
                  </w:r>
                  <w:r>
                    <w:t xml:space="preserve">were discussed </w:t>
                  </w:r>
                  <w:r w:rsidRPr="00580A32">
                    <w:t>at a fully</w:t>
                  </w:r>
                  <w:r>
                    <w:t xml:space="preserve"> </w:t>
                  </w:r>
                  <w:r w:rsidRPr="00580A32">
                    <w:t xml:space="preserve">constituted </w:t>
                  </w:r>
                  <w:r w:rsidRPr="00580A32">
                    <w:lastRenderedPageBreak/>
                    <w:t>haemato-oncology MDT meeting</w:t>
                  </w:r>
                  <w:r>
                    <w:t>.</w:t>
                  </w:r>
                </w:p>
              </w:tc>
              <w:tc>
                <w:tcPr>
                  <w:tcW w:w="1399" w:type="dxa"/>
                </w:tcPr>
                <w:p w14:paraId="04D4A1C6" w14:textId="77777777" w:rsidR="00541988" w:rsidRPr="009349D7" w:rsidRDefault="00541988" w:rsidP="0029610F">
                  <w:pPr>
                    <w:pStyle w:val="Tabletext"/>
                  </w:pPr>
                </w:p>
              </w:tc>
              <w:tc>
                <w:tcPr>
                  <w:tcW w:w="1735" w:type="dxa"/>
                </w:tcPr>
                <w:p w14:paraId="17A2F64B" w14:textId="41A22790" w:rsidR="00541988" w:rsidRPr="009349D7" w:rsidRDefault="00541988" w:rsidP="0029610F">
                  <w:pPr>
                    <w:pStyle w:val="Tabletext"/>
                  </w:pPr>
                </w:p>
              </w:tc>
              <w:tc>
                <w:tcPr>
                  <w:tcW w:w="1821" w:type="dxa"/>
                </w:tcPr>
                <w:p w14:paraId="75E972AC" w14:textId="6526AC0A" w:rsidR="00541988" w:rsidRPr="009349D7" w:rsidRDefault="00541988" w:rsidP="0029610F">
                  <w:pPr>
                    <w:pStyle w:val="Tabletext"/>
                  </w:pPr>
                </w:p>
              </w:tc>
            </w:tr>
            <w:tr w:rsidR="00F245C0" w:rsidRPr="009349D7" w14:paraId="25559A8D" w14:textId="77777777" w:rsidTr="00F245C0">
              <w:trPr>
                <w:trHeight w:val="300"/>
              </w:trPr>
              <w:tc>
                <w:tcPr>
                  <w:tcW w:w="2710" w:type="dxa"/>
                </w:tcPr>
                <w:p w14:paraId="352CA0A7" w14:textId="53DED87F" w:rsidR="00541988" w:rsidRPr="009349D7" w:rsidRDefault="006D2DC3" w:rsidP="003D71CB">
                  <w:pPr>
                    <w:pStyle w:val="Numberedlist"/>
                  </w:pPr>
                  <w:r>
                    <w:t>All patients had tests for serum LDH and full serology for HBV, HCV and HIV.</w:t>
                  </w:r>
                </w:p>
              </w:tc>
              <w:tc>
                <w:tcPr>
                  <w:tcW w:w="1399" w:type="dxa"/>
                </w:tcPr>
                <w:p w14:paraId="7624C7F8" w14:textId="77777777" w:rsidR="00541988" w:rsidRPr="009349D7" w:rsidRDefault="00541988" w:rsidP="0029610F">
                  <w:pPr>
                    <w:pStyle w:val="Tabletext"/>
                  </w:pPr>
                </w:p>
              </w:tc>
              <w:tc>
                <w:tcPr>
                  <w:tcW w:w="1735" w:type="dxa"/>
                </w:tcPr>
                <w:p w14:paraId="0AF8C142" w14:textId="1067B8AF" w:rsidR="00541988" w:rsidRPr="009349D7" w:rsidRDefault="00541988" w:rsidP="0029610F">
                  <w:pPr>
                    <w:pStyle w:val="Tabletext"/>
                  </w:pPr>
                </w:p>
              </w:tc>
              <w:tc>
                <w:tcPr>
                  <w:tcW w:w="1821" w:type="dxa"/>
                </w:tcPr>
                <w:p w14:paraId="0C1BE610" w14:textId="466E27C6" w:rsidR="00541988" w:rsidRPr="009349D7" w:rsidRDefault="00541988" w:rsidP="0029610F">
                  <w:pPr>
                    <w:pStyle w:val="Tabletext"/>
                  </w:pPr>
                </w:p>
              </w:tc>
            </w:tr>
            <w:tr w:rsidR="00F245C0" w:rsidRPr="009349D7" w14:paraId="24DC0D94" w14:textId="77777777" w:rsidTr="00F245C0">
              <w:trPr>
                <w:trHeight w:val="300"/>
              </w:trPr>
              <w:tc>
                <w:tcPr>
                  <w:tcW w:w="2710" w:type="dxa"/>
                </w:tcPr>
                <w:p w14:paraId="6016E98A" w14:textId="31086D36" w:rsidR="00541988" w:rsidRPr="009349D7" w:rsidRDefault="006D2DC3" w:rsidP="006D2DC3">
                  <w:pPr>
                    <w:pStyle w:val="Numberedlist"/>
                  </w:pPr>
                  <w:r>
                    <w:t>Baseline PET-CT was performed for all patients.</w:t>
                  </w:r>
                </w:p>
              </w:tc>
              <w:tc>
                <w:tcPr>
                  <w:tcW w:w="1399" w:type="dxa"/>
                </w:tcPr>
                <w:p w14:paraId="308B8277" w14:textId="77777777" w:rsidR="00541988" w:rsidRPr="009349D7" w:rsidRDefault="00541988" w:rsidP="0029610F">
                  <w:pPr>
                    <w:pStyle w:val="Tabletext"/>
                  </w:pPr>
                </w:p>
              </w:tc>
              <w:tc>
                <w:tcPr>
                  <w:tcW w:w="1735" w:type="dxa"/>
                </w:tcPr>
                <w:p w14:paraId="49D4F7B5" w14:textId="653154B5" w:rsidR="00541988" w:rsidRPr="009349D7" w:rsidRDefault="00541988" w:rsidP="0029610F">
                  <w:pPr>
                    <w:pStyle w:val="Tabletext"/>
                  </w:pPr>
                </w:p>
              </w:tc>
              <w:tc>
                <w:tcPr>
                  <w:tcW w:w="1821" w:type="dxa"/>
                </w:tcPr>
                <w:p w14:paraId="6A0A368F" w14:textId="1B16840F" w:rsidR="00541988" w:rsidRPr="009349D7" w:rsidRDefault="00541988" w:rsidP="0029610F">
                  <w:pPr>
                    <w:pStyle w:val="Tabletext"/>
                  </w:pPr>
                </w:p>
              </w:tc>
            </w:tr>
            <w:tr w:rsidR="00F245C0" w:rsidRPr="009349D7" w14:paraId="0EC6E438" w14:textId="77777777" w:rsidTr="00F245C0">
              <w:trPr>
                <w:trHeight w:val="300"/>
              </w:trPr>
              <w:tc>
                <w:tcPr>
                  <w:tcW w:w="2710" w:type="dxa"/>
                </w:tcPr>
                <w:p w14:paraId="2901A362" w14:textId="4DB9D9CB" w:rsidR="006D2DC3" w:rsidRPr="009349D7" w:rsidRDefault="006D2DC3" w:rsidP="00426A8C">
                  <w:pPr>
                    <w:pStyle w:val="Numberedlist"/>
                  </w:pPr>
                  <w:r>
                    <w:t>Baseline ECG was performed on all patients.</w:t>
                  </w:r>
                </w:p>
              </w:tc>
              <w:tc>
                <w:tcPr>
                  <w:tcW w:w="1399" w:type="dxa"/>
                </w:tcPr>
                <w:p w14:paraId="4F9A6E84" w14:textId="77777777" w:rsidR="00541988" w:rsidRPr="009349D7" w:rsidRDefault="00541988" w:rsidP="0029610F">
                  <w:pPr>
                    <w:pStyle w:val="Tabletext"/>
                  </w:pPr>
                </w:p>
              </w:tc>
              <w:tc>
                <w:tcPr>
                  <w:tcW w:w="1735" w:type="dxa"/>
                </w:tcPr>
                <w:p w14:paraId="68EAA3D7" w14:textId="3DADCCE6" w:rsidR="00541988" w:rsidRPr="009349D7" w:rsidRDefault="00541988" w:rsidP="0029610F">
                  <w:pPr>
                    <w:pStyle w:val="Tabletext"/>
                  </w:pPr>
                </w:p>
              </w:tc>
              <w:tc>
                <w:tcPr>
                  <w:tcW w:w="1821" w:type="dxa"/>
                </w:tcPr>
                <w:p w14:paraId="3EE5BE6B" w14:textId="6FDC13A5" w:rsidR="00541988" w:rsidRPr="009349D7" w:rsidRDefault="00541988" w:rsidP="0029610F">
                  <w:pPr>
                    <w:pStyle w:val="Tabletext"/>
                  </w:pPr>
                </w:p>
              </w:tc>
            </w:tr>
            <w:tr w:rsidR="00F245C0" w:rsidRPr="009349D7" w14:paraId="15FD2B11" w14:textId="77777777" w:rsidTr="00F245C0">
              <w:trPr>
                <w:trHeight w:val="300"/>
              </w:trPr>
              <w:tc>
                <w:tcPr>
                  <w:tcW w:w="2710" w:type="dxa"/>
                </w:tcPr>
                <w:p w14:paraId="7F2DE78C" w14:textId="410EC347" w:rsidR="00541988" w:rsidRPr="009349D7" w:rsidRDefault="006D2DC3" w:rsidP="006D2DC3">
                  <w:pPr>
                    <w:pStyle w:val="Numberedlist"/>
                  </w:pPr>
                  <w:r>
                    <w:t>ECOG PS, IPI and CNS-IPI scores were recorded for all patients.</w:t>
                  </w:r>
                </w:p>
              </w:tc>
              <w:tc>
                <w:tcPr>
                  <w:tcW w:w="1399" w:type="dxa"/>
                </w:tcPr>
                <w:p w14:paraId="79F7DFB0" w14:textId="77777777" w:rsidR="00541988" w:rsidRPr="009349D7" w:rsidRDefault="00541988" w:rsidP="0029610F">
                  <w:pPr>
                    <w:pStyle w:val="Tabletext"/>
                  </w:pPr>
                </w:p>
              </w:tc>
              <w:tc>
                <w:tcPr>
                  <w:tcW w:w="1735" w:type="dxa"/>
                </w:tcPr>
                <w:p w14:paraId="4FC25A64" w14:textId="215FF99E" w:rsidR="00541988" w:rsidRPr="009349D7" w:rsidRDefault="00541988" w:rsidP="0029610F">
                  <w:pPr>
                    <w:pStyle w:val="Tabletext"/>
                  </w:pPr>
                </w:p>
              </w:tc>
              <w:tc>
                <w:tcPr>
                  <w:tcW w:w="1821" w:type="dxa"/>
                </w:tcPr>
                <w:p w14:paraId="1F18D056" w14:textId="2327FA84" w:rsidR="00541988" w:rsidRPr="009349D7" w:rsidRDefault="00541988" w:rsidP="0029610F">
                  <w:pPr>
                    <w:pStyle w:val="Tabletext"/>
                  </w:pPr>
                </w:p>
              </w:tc>
            </w:tr>
            <w:tr w:rsidR="00F245C0" w:rsidRPr="009349D7" w14:paraId="5350E8F4" w14:textId="77777777" w:rsidTr="00F245C0">
              <w:trPr>
                <w:cantSplit/>
                <w:trHeight w:val="122"/>
              </w:trPr>
              <w:tc>
                <w:tcPr>
                  <w:tcW w:w="2710" w:type="dxa"/>
                </w:tcPr>
                <w:p w14:paraId="2C69EB04" w14:textId="58EAB1B6" w:rsidR="00541988" w:rsidRPr="009349D7" w:rsidRDefault="006D2DC3" w:rsidP="006D2DC3">
                  <w:pPr>
                    <w:pStyle w:val="Numberedlist"/>
                  </w:pPr>
                  <w:r>
                    <w:t xml:space="preserve">FISH for </w:t>
                  </w:r>
                  <w:r w:rsidRPr="006D2DC3">
                    <w:rPr>
                      <w:i/>
                      <w:iCs/>
                    </w:rPr>
                    <w:t>MYC</w:t>
                  </w:r>
                  <w:r>
                    <w:t xml:space="preserve"> rearrangements was </w:t>
                  </w:r>
                  <w:r w:rsidR="00100F3A">
                    <w:t>performed.</w:t>
                  </w:r>
                </w:p>
              </w:tc>
              <w:tc>
                <w:tcPr>
                  <w:tcW w:w="1399" w:type="dxa"/>
                </w:tcPr>
                <w:p w14:paraId="694BA9CD" w14:textId="77777777" w:rsidR="00541988" w:rsidRPr="009349D7" w:rsidRDefault="00541988" w:rsidP="0029610F">
                  <w:pPr>
                    <w:pStyle w:val="Tabletext"/>
                  </w:pPr>
                </w:p>
              </w:tc>
              <w:tc>
                <w:tcPr>
                  <w:tcW w:w="1735" w:type="dxa"/>
                </w:tcPr>
                <w:p w14:paraId="1A941215" w14:textId="4ECB5368" w:rsidR="00541988" w:rsidRPr="009349D7" w:rsidRDefault="00541988" w:rsidP="0029610F">
                  <w:pPr>
                    <w:pStyle w:val="Tabletext"/>
                  </w:pPr>
                </w:p>
              </w:tc>
              <w:tc>
                <w:tcPr>
                  <w:tcW w:w="1821" w:type="dxa"/>
                </w:tcPr>
                <w:p w14:paraId="7669C8FF" w14:textId="65B2E1FA" w:rsidR="00541988" w:rsidRPr="009349D7" w:rsidRDefault="00541988" w:rsidP="0029610F">
                  <w:pPr>
                    <w:pStyle w:val="Tabletext"/>
                  </w:pPr>
                </w:p>
              </w:tc>
            </w:tr>
            <w:tr w:rsidR="00100F3A" w:rsidRPr="009349D7" w14:paraId="7DD9ACF3" w14:textId="77777777" w:rsidTr="00100F3A">
              <w:trPr>
                <w:cantSplit/>
                <w:trHeight w:val="121"/>
              </w:trPr>
              <w:tc>
                <w:tcPr>
                  <w:tcW w:w="7665" w:type="dxa"/>
                  <w:gridSpan w:val="4"/>
                  <w:shd w:val="clear" w:color="auto" w:fill="D0CECE" w:themeFill="background2" w:themeFillShade="E6"/>
                </w:tcPr>
                <w:p w14:paraId="1168D5AB" w14:textId="63517550" w:rsidR="00100F3A" w:rsidRPr="009349D7" w:rsidRDefault="00100F3A" w:rsidP="00100F3A">
                  <w:pPr>
                    <w:pStyle w:val="Tablecolumnheading"/>
                  </w:pPr>
                  <w:r>
                    <w:t>Supportive care</w:t>
                  </w:r>
                </w:p>
              </w:tc>
            </w:tr>
            <w:tr w:rsidR="00F245C0" w:rsidRPr="009349D7" w14:paraId="163855E9" w14:textId="77777777" w:rsidTr="00F245C0">
              <w:trPr>
                <w:trHeight w:val="300"/>
              </w:trPr>
              <w:tc>
                <w:tcPr>
                  <w:tcW w:w="2710" w:type="dxa"/>
                </w:tcPr>
                <w:p w14:paraId="22CCF072" w14:textId="5B660F1F" w:rsidR="00541988" w:rsidRPr="009349D7" w:rsidRDefault="00100F3A" w:rsidP="00426A8C">
                  <w:pPr>
                    <w:pStyle w:val="Numberedlist"/>
                    <w:numPr>
                      <w:ilvl w:val="0"/>
                      <w:numId w:val="13"/>
                    </w:numPr>
                    <w:ind w:left="425" w:hanging="425"/>
                    <w:jc w:val="both"/>
                  </w:pPr>
                  <w:r>
                    <w:t xml:space="preserve">Primary </w:t>
                  </w:r>
                  <w:r w:rsidR="00052C8C">
                    <w:t>G-CSF prophylaxis was offered to all patients receiving chemo-immunotherapy with curative intent</w:t>
                  </w:r>
                  <w:r w:rsidR="006462FD">
                    <w:t>.</w:t>
                  </w:r>
                </w:p>
              </w:tc>
              <w:tc>
                <w:tcPr>
                  <w:tcW w:w="1399" w:type="dxa"/>
                </w:tcPr>
                <w:p w14:paraId="68D7810C" w14:textId="77777777" w:rsidR="00541988" w:rsidRPr="009349D7" w:rsidRDefault="00541988" w:rsidP="0029610F">
                  <w:pPr>
                    <w:pStyle w:val="Tabletext"/>
                  </w:pPr>
                </w:p>
              </w:tc>
              <w:tc>
                <w:tcPr>
                  <w:tcW w:w="1735" w:type="dxa"/>
                </w:tcPr>
                <w:p w14:paraId="6B708A2F" w14:textId="26CB85C4" w:rsidR="00541988" w:rsidRPr="009349D7" w:rsidRDefault="00541988" w:rsidP="0029610F">
                  <w:pPr>
                    <w:pStyle w:val="Tabletext"/>
                  </w:pPr>
                </w:p>
              </w:tc>
              <w:tc>
                <w:tcPr>
                  <w:tcW w:w="1821" w:type="dxa"/>
                </w:tcPr>
                <w:p w14:paraId="2B311D28" w14:textId="46F62183" w:rsidR="00541988" w:rsidRPr="009349D7" w:rsidRDefault="00541988" w:rsidP="0029610F">
                  <w:pPr>
                    <w:pStyle w:val="Tabletext"/>
                  </w:pPr>
                </w:p>
              </w:tc>
            </w:tr>
            <w:tr w:rsidR="009C7EFC" w:rsidRPr="009349D7" w14:paraId="52FD10AE" w14:textId="77777777" w:rsidTr="009C7EFC">
              <w:trPr>
                <w:trHeight w:val="300"/>
              </w:trPr>
              <w:tc>
                <w:tcPr>
                  <w:tcW w:w="7665" w:type="dxa"/>
                  <w:gridSpan w:val="4"/>
                  <w:shd w:val="clear" w:color="auto" w:fill="D0CECE" w:themeFill="background2" w:themeFillShade="E6"/>
                </w:tcPr>
                <w:p w14:paraId="2F7913E5" w14:textId="606A37C4" w:rsidR="009C7EFC" w:rsidRPr="009C7EFC" w:rsidRDefault="009C7EFC" w:rsidP="009C7EFC">
                  <w:pPr>
                    <w:pStyle w:val="Tablecolumnheading"/>
                  </w:pPr>
                  <w:r w:rsidRPr="009C7EFC">
                    <w:t>Stage I and II disease</w:t>
                  </w:r>
                </w:p>
              </w:tc>
            </w:tr>
            <w:tr w:rsidR="009F0368" w:rsidRPr="009349D7" w14:paraId="054E41C5" w14:textId="77777777" w:rsidTr="00F245C0">
              <w:trPr>
                <w:trHeight w:val="300"/>
              </w:trPr>
              <w:tc>
                <w:tcPr>
                  <w:tcW w:w="2710" w:type="dxa"/>
                </w:tcPr>
                <w:p w14:paraId="3D22D218" w14:textId="68DC088E" w:rsidR="009F0368" w:rsidRPr="009349D7" w:rsidRDefault="009F0368" w:rsidP="00426A8C">
                  <w:pPr>
                    <w:pStyle w:val="Numberedlist"/>
                    <w:numPr>
                      <w:ilvl w:val="0"/>
                      <w:numId w:val="14"/>
                    </w:numPr>
                    <w:ind w:left="425" w:hanging="425"/>
                  </w:pPr>
                  <w:r w:rsidRPr="00580A32">
                    <w:rPr>
                      <w:color w:val="000000"/>
                    </w:rPr>
                    <w:t>Four cycles of R-CHOP</w:t>
                  </w:r>
                  <w:r>
                    <w:rPr>
                      <w:color w:val="000000"/>
                    </w:rPr>
                    <w:t xml:space="preserve"> </w:t>
                  </w:r>
                  <w:r w:rsidRPr="00580A32">
                    <w:rPr>
                      <w:color w:val="000000"/>
                    </w:rPr>
                    <w:t xml:space="preserve">plus two additional infusions </w:t>
                  </w:r>
                  <w:r w:rsidRPr="00580A32">
                    <w:rPr>
                      <w:color w:val="000000"/>
                    </w:rPr>
                    <w:lastRenderedPageBreak/>
                    <w:t xml:space="preserve">of rituximab </w:t>
                  </w:r>
                  <w:r>
                    <w:rPr>
                      <w:color w:val="000000"/>
                    </w:rPr>
                    <w:t>were</w:t>
                  </w:r>
                  <w:r w:rsidRPr="00580A32">
                    <w:rPr>
                      <w:color w:val="000000"/>
                    </w:rPr>
                    <w:t xml:space="preserve"> offered to patients 18–60 years with stage I/II, aaIPI 0, without bulky disease</w:t>
                  </w:r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399" w:type="dxa"/>
                </w:tcPr>
                <w:p w14:paraId="7BE2C83E" w14:textId="77777777" w:rsidR="009F0368" w:rsidRPr="009349D7" w:rsidRDefault="009F0368" w:rsidP="009F0368">
                  <w:pPr>
                    <w:pStyle w:val="Tabletext"/>
                  </w:pPr>
                </w:p>
              </w:tc>
              <w:tc>
                <w:tcPr>
                  <w:tcW w:w="1735" w:type="dxa"/>
                </w:tcPr>
                <w:p w14:paraId="4628F772" w14:textId="77777777" w:rsidR="009F0368" w:rsidRPr="009349D7" w:rsidRDefault="009F0368" w:rsidP="009F0368">
                  <w:pPr>
                    <w:pStyle w:val="Tabletext"/>
                  </w:pPr>
                </w:p>
              </w:tc>
              <w:tc>
                <w:tcPr>
                  <w:tcW w:w="1821" w:type="dxa"/>
                </w:tcPr>
                <w:p w14:paraId="2CA9B33F" w14:textId="77777777" w:rsidR="009F0368" w:rsidRPr="009349D7" w:rsidRDefault="009F0368" w:rsidP="009F0368">
                  <w:pPr>
                    <w:pStyle w:val="Tabletext"/>
                  </w:pPr>
                </w:p>
              </w:tc>
            </w:tr>
            <w:tr w:rsidR="00300CFE" w:rsidRPr="009349D7" w14:paraId="390D8A2D" w14:textId="77777777" w:rsidTr="00300CFE">
              <w:trPr>
                <w:trHeight w:val="300"/>
              </w:trPr>
              <w:tc>
                <w:tcPr>
                  <w:tcW w:w="7665" w:type="dxa"/>
                  <w:gridSpan w:val="4"/>
                  <w:shd w:val="clear" w:color="auto" w:fill="D0CECE" w:themeFill="background2" w:themeFillShade="E6"/>
                </w:tcPr>
                <w:p w14:paraId="787EF1C2" w14:textId="724A188B" w:rsidR="00300CFE" w:rsidRPr="009349D7" w:rsidRDefault="00300CFE" w:rsidP="00300CFE">
                  <w:pPr>
                    <w:pStyle w:val="Tablecolumnheading"/>
                  </w:pPr>
                  <w:r w:rsidRPr="002F58A2">
                    <w:t xml:space="preserve">Primary extra-nodal LBCL – </w:t>
                  </w:r>
                  <w:r>
                    <w:t>t</w:t>
                  </w:r>
                  <w:r w:rsidRPr="002F58A2">
                    <w:t>esticular</w:t>
                  </w:r>
                </w:p>
              </w:tc>
            </w:tr>
            <w:tr w:rsidR="009F0368" w:rsidRPr="009349D7" w14:paraId="4A274010" w14:textId="77777777" w:rsidTr="00F245C0">
              <w:trPr>
                <w:trHeight w:val="300"/>
              </w:trPr>
              <w:tc>
                <w:tcPr>
                  <w:tcW w:w="2710" w:type="dxa"/>
                </w:tcPr>
                <w:p w14:paraId="3BDB8EF1" w14:textId="568F9CFB" w:rsidR="009F0368" w:rsidRPr="009349D7" w:rsidRDefault="00C149EB" w:rsidP="00426A8C">
                  <w:pPr>
                    <w:pStyle w:val="Numberedlist"/>
                    <w:numPr>
                      <w:ilvl w:val="0"/>
                      <w:numId w:val="15"/>
                    </w:numPr>
                    <w:ind w:left="425" w:hanging="425"/>
                  </w:pPr>
                  <w:r>
                    <w:t>CNS prophylaxis was offered, guided by the BSH GPP.</w:t>
                  </w:r>
                </w:p>
              </w:tc>
              <w:tc>
                <w:tcPr>
                  <w:tcW w:w="1399" w:type="dxa"/>
                </w:tcPr>
                <w:p w14:paraId="710793E8" w14:textId="77777777" w:rsidR="009F0368" w:rsidRPr="009349D7" w:rsidRDefault="009F0368" w:rsidP="009F0368">
                  <w:pPr>
                    <w:pStyle w:val="Tabletext"/>
                  </w:pPr>
                </w:p>
              </w:tc>
              <w:tc>
                <w:tcPr>
                  <w:tcW w:w="1735" w:type="dxa"/>
                </w:tcPr>
                <w:p w14:paraId="4AC21BC0" w14:textId="77777777" w:rsidR="009F0368" w:rsidRPr="009349D7" w:rsidRDefault="009F0368" w:rsidP="009F0368">
                  <w:pPr>
                    <w:pStyle w:val="Tabletext"/>
                  </w:pPr>
                </w:p>
              </w:tc>
              <w:tc>
                <w:tcPr>
                  <w:tcW w:w="1821" w:type="dxa"/>
                </w:tcPr>
                <w:p w14:paraId="13AF60F5" w14:textId="77777777" w:rsidR="009F0368" w:rsidRPr="009349D7" w:rsidRDefault="009F0368" w:rsidP="009F0368">
                  <w:pPr>
                    <w:pStyle w:val="Tabletext"/>
                  </w:pPr>
                </w:p>
              </w:tc>
            </w:tr>
            <w:tr w:rsidR="00300CFE" w:rsidRPr="009349D7" w14:paraId="6E59188D" w14:textId="77777777" w:rsidTr="00F245C0">
              <w:trPr>
                <w:trHeight w:val="300"/>
              </w:trPr>
              <w:tc>
                <w:tcPr>
                  <w:tcW w:w="2710" w:type="dxa"/>
                </w:tcPr>
                <w:p w14:paraId="24AEE0F1" w14:textId="6C48D3E9" w:rsidR="00300CFE" w:rsidRPr="009349D7" w:rsidRDefault="00C149EB" w:rsidP="00C149EB">
                  <w:pPr>
                    <w:pStyle w:val="Numberedlist"/>
                  </w:pPr>
                  <w:r>
                    <w:t>Contralateral testicular radiotheraphy was offered following completion of systemic therapy.</w:t>
                  </w:r>
                </w:p>
              </w:tc>
              <w:tc>
                <w:tcPr>
                  <w:tcW w:w="1399" w:type="dxa"/>
                </w:tcPr>
                <w:p w14:paraId="63F836DE" w14:textId="77777777" w:rsidR="00300CFE" w:rsidRPr="009349D7" w:rsidRDefault="00300CFE" w:rsidP="009F0368">
                  <w:pPr>
                    <w:pStyle w:val="Tabletext"/>
                  </w:pPr>
                </w:p>
              </w:tc>
              <w:tc>
                <w:tcPr>
                  <w:tcW w:w="1735" w:type="dxa"/>
                </w:tcPr>
                <w:p w14:paraId="445DE121" w14:textId="77777777" w:rsidR="00300CFE" w:rsidRPr="009349D7" w:rsidRDefault="00300CFE" w:rsidP="009F0368">
                  <w:pPr>
                    <w:pStyle w:val="Tabletext"/>
                  </w:pPr>
                </w:p>
              </w:tc>
              <w:tc>
                <w:tcPr>
                  <w:tcW w:w="1821" w:type="dxa"/>
                </w:tcPr>
                <w:p w14:paraId="609279D7" w14:textId="77777777" w:rsidR="00300CFE" w:rsidRPr="009349D7" w:rsidRDefault="00300CFE" w:rsidP="009F0368">
                  <w:pPr>
                    <w:pStyle w:val="Tabletext"/>
                  </w:pPr>
                </w:p>
              </w:tc>
            </w:tr>
            <w:tr w:rsidR="00530048" w:rsidRPr="009349D7" w14:paraId="5D125D6B" w14:textId="77777777" w:rsidTr="00530048">
              <w:trPr>
                <w:trHeight w:val="300"/>
              </w:trPr>
              <w:tc>
                <w:tcPr>
                  <w:tcW w:w="7665" w:type="dxa"/>
                  <w:gridSpan w:val="4"/>
                  <w:shd w:val="clear" w:color="auto" w:fill="D0CECE" w:themeFill="background2" w:themeFillShade="E6"/>
                </w:tcPr>
                <w:p w14:paraId="4ACE07E9" w14:textId="4F491486" w:rsidR="00530048" w:rsidRPr="009349D7" w:rsidRDefault="00530048" w:rsidP="00530048">
                  <w:pPr>
                    <w:pStyle w:val="Tablecolumnheading"/>
                  </w:pPr>
                  <w:r w:rsidRPr="002F58A2">
                    <w:t xml:space="preserve">Primary extra-nodal LBCL – </w:t>
                  </w:r>
                  <w:r>
                    <w:t>g</w:t>
                  </w:r>
                  <w:r w:rsidRPr="002F58A2">
                    <w:t>astric</w:t>
                  </w:r>
                </w:p>
              </w:tc>
            </w:tr>
            <w:tr w:rsidR="00300CFE" w:rsidRPr="009349D7" w14:paraId="304754A6" w14:textId="77777777" w:rsidTr="00F245C0">
              <w:trPr>
                <w:trHeight w:val="300"/>
              </w:trPr>
              <w:tc>
                <w:tcPr>
                  <w:tcW w:w="2710" w:type="dxa"/>
                </w:tcPr>
                <w:p w14:paraId="16433767" w14:textId="622B67EE" w:rsidR="00300CFE" w:rsidRPr="009349D7" w:rsidRDefault="00530048" w:rsidP="00426A8C">
                  <w:pPr>
                    <w:pStyle w:val="Numberedlist"/>
                    <w:numPr>
                      <w:ilvl w:val="0"/>
                      <w:numId w:val="16"/>
                    </w:numPr>
                    <w:ind w:left="425" w:hanging="425"/>
                  </w:pPr>
                  <w:r>
                    <w:t xml:space="preserve">Where </w:t>
                  </w:r>
                  <w:r w:rsidRPr="00530048">
                    <w:rPr>
                      <w:i/>
                      <w:iCs/>
                    </w:rPr>
                    <w:t>Helicobacter pylori</w:t>
                  </w:r>
                  <w:r>
                    <w:t xml:space="preserve"> was detected, eradication therapy was offered as per current guidance.</w:t>
                  </w:r>
                </w:p>
              </w:tc>
              <w:tc>
                <w:tcPr>
                  <w:tcW w:w="1399" w:type="dxa"/>
                </w:tcPr>
                <w:p w14:paraId="2BB12816" w14:textId="77777777" w:rsidR="00300CFE" w:rsidRPr="009349D7" w:rsidRDefault="00300CFE" w:rsidP="009F0368">
                  <w:pPr>
                    <w:pStyle w:val="Tabletext"/>
                  </w:pPr>
                </w:p>
              </w:tc>
              <w:tc>
                <w:tcPr>
                  <w:tcW w:w="1735" w:type="dxa"/>
                </w:tcPr>
                <w:p w14:paraId="465B9A46" w14:textId="77777777" w:rsidR="00300CFE" w:rsidRPr="009349D7" w:rsidRDefault="00300CFE" w:rsidP="009F0368">
                  <w:pPr>
                    <w:pStyle w:val="Tabletext"/>
                  </w:pPr>
                </w:p>
              </w:tc>
              <w:tc>
                <w:tcPr>
                  <w:tcW w:w="1821" w:type="dxa"/>
                </w:tcPr>
                <w:p w14:paraId="433A57CE" w14:textId="77777777" w:rsidR="00300CFE" w:rsidRPr="009349D7" w:rsidRDefault="00300CFE" w:rsidP="009F0368">
                  <w:pPr>
                    <w:pStyle w:val="Tabletext"/>
                  </w:pPr>
                </w:p>
              </w:tc>
            </w:tr>
            <w:tr w:rsidR="00FD3839" w:rsidRPr="009349D7" w14:paraId="48A1EFC9" w14:textId="77777777" w:rsidTr="00FD3839">
              <w:trPr>
                <w:trHeight w:val="300"/>
              </w:trPr>
              <w:tc>
                <w:tcPr>
                  <w:tcW w:w="7665" w:type="dxa"/>
                  <w:gridSpan w:val="4"/>
                  <w:shd w:val="clear" w:color="auto" w:fill="D0CECE" w:themeFill="background2" w:themeFillShade="E6"/>
                </w:tcPr>
                <w:p w14:paraId="17919F88" w14:textId="681E3D41" w:rsidR="00FD3839" w:rsidRPr="009349D7" w:rsidRDefault="00FD3839" w:rsidP="00FD3839">
                  <w:pPr>
                    <w:pStyle w:val="Tablecolumnheading"/>
                  </w:pPr>
                  <w:r w:rsidRPr="002F58A2">
                    <w:t>Advanced stage disease</w:t>
                  </w:r>
                </w:p>
              </w:tc>
            </w:tr>
            <w:tr w:rsidR="002A5E66" w:rsidRPr="009349D7" w14:paraId="6E6CB9D5" w14:textId="77777777" w:rsidTr="00F245C0">
              <w:trPr>
                <w:trHeight w:val="300"/>
              </w:trPr>
              <w:tc>
                <w:tcPr>
                  <w:tcW w:w="2710" w:type="dxa"/>
                </w:tcPr>
                <w:p w14:paraId="4AC42863" w14:textId="5A330A45" w:rsidR="002A5E66" w:rsidRDefault="00FD3839" w:rsidP="00426A8C">
                  <w:pPr>
                    <w:pStyle w:val="Numberedlist"/>
                    <w:numPr>
                      <w:ilvl w:val="0"/>
                      <w:numId w:val="17"/>
                    </w:numPr>
                    <w:ind w:left="425" w:hanging="425"/>
                  </w:pPr>
                  <w:r>
                    <w:t xml:space="preserve">Six cycles of RCHP-polatuzumab vedotin </w:t>
                  </w:r>
                  <w:r w:rsidR="00DB24D1" w:rsidRPr="00880553">
                    <w:rPr>
                      <w:color w:val="000000"/>
                    </w:rPr>
                    <w:t xml:space="preserve">was offered as first-line treatment for patients with </w:t>
                  </w:r>
                  <w:r w:rsidR="00DB24D1" w:rsidRPr="00880553">
                    <w:rPr>
                      <w:i/>
                      <w:iCs/>
                      <w:color w:val="000000"/>
                    </w:rPr>
                    <w:t>de novo</w:t>
                  </w:r>
                  <w:r w:rsidR="00DB24D1" w:rsidRPr="00880553">
                    <w:rPr>
                      <w:color w:val="000000"/>
                    </w:rPr>
                    <w:t xml:space="preserve"> LBCL, fit for </w:t>
                  </w:r>
                  <w:r w:rsidR="00DB24D1" w:rsidRPr="00880553">
                    <w:rPr>
                      <w:color w:val="000000"/>
                    </w:rPr>
                    <w:lastRenderedPageBreak/>
                    <w:t>full-dose chemotherapy, with an ECOG PS ≤2 and an IPI score of 2–5.</w:t>
                  </w:r>
                </w:p>
              </w:tc>
              <w:tc>
                <w:tcPr>
                  <w:tcW w:w="1399" w:type="dxa"/>
                </w:tcPr>
                <w:p w14:paraId="624E2E96" w14:textId="77777777" w:rsidR="002A5E66" w:rsidRPr="009349D7" w:rsidRDefault="002A5E66" w:rsidP="009F0368">
                  <w:pPr>
                    <w:pStyle w:val="Tabletext"/>
                  </w:pPr>
                </w:p>
              </w:tc>
              <w:tc>
                <w:tcPr>
                  <w:tcW w:w="1735" w:type="dxa"/>
                </w:tcPr>
                <w:p w14:paraId="6C5E1B6A" w14:textId="77777777" w:rsidR="002A5E66" w:rsidRPr="009349D7" w:rsidRDefault="002A5E66" w:rsidP="009F0368">
                  <w:pPr>
                    <w:pStyle w:val="Tabletext"/>
                  </w:pPr>
                </w:p>
              </w:tc>
              <w:tc>
                <w:tcPr>
                  <w:tcW w:w="1821" w:type="dxa"/>
                </w:tcPr>
                <w:p w14:paraId="714E9310" w14:textId="77777777" w:rsidR="002A5E66" w:rsidRPr="009349D7" w:rsidRDefault="002A5E66" w:rsidP="009F0368">
                  <w:pPr>
                    <w:pStyle w:val="Tabletext"/>
                  </w:pPr>
                </w:p>
              </w:tc>
            </w:tr>
            <w:tr w:rsidR="002A5E66" w:rsidRPr="009349D7" w14:paraId="1F0B528A" w14:textId="77777777" w:rsidTr="00F245C0">
              <w:trPr>
                <w:trHeight w:val="300"/>
              </w:trPr>
              <w:tc>
                <w:tcPr>
                  <w:tcW w:w="2710" w:type="dxa"/>
                </w:tcPr>
                <w:p w14:paraId="7F06F13A" w14:textId="193EF17E" w:rsidR="002A5E66" w:rsidRDefault="001745FB" w:rsidP="00426A8C">
                  <w:pPr>
                    <w:pStyle w:val="Numberedlist"/>
                    <w:numPr>
                      <w:ilvl w:val="0"/>
                      <w:numId w:val="16"/>
                    </w:numPr>
                    <w:ind w:left="425" w:hanging="425"/>
                  </w:pPr>
                  <w:r w:rsidRPr="00173CB4">
                    <w:rPr>
                      <w:color w:val="000000"/>
                    </w:rPr>
                    <w:t>Six cycles of R-CHOP</w:t>
                  </w:r>
                  <w:r>
                    <w:rPr>
                      <w:color w:val="000000"/>
                    </w:rPr>
                    <w:t xml:space="preserve"> were offered</w:t>
                  </w:r>
                  <w:r w:rsidRPr="00173CB4">
                    <w:rPr>
                      <w:color w:val="000000"/>
                    </w:rPr>
                    <w:t xml:space="preserve"> as first-line treatment for patients with stage III/IV disease and an IPI score of 1</w:t>
                  </w:r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399" w:type="dxa"/>
                </w:tcPr>
                <w:p w14:paraId="4861405F" w14:textId="77777777" w:rsidR="002A5E66" w:rsidRPr="009349D7" w:rsidRDefault="002A5E66" w:rsidP="009F0368">
                  <w:pPr>
                    <w:pStyle w:val="Tabletext"/>
                  </w:pPr>
                </w:p>
              </w:tc>
              <w:tc>
                <w:tcPr>
                  <w:tcW w:w="1735" w:type="dxa"/>
                </w:tcPr>
                <w:p w14:paraId="55EF518E" w14:textId="77777777" w:rsidR="002A5E66" w:rsidRPr="009349D7" w:rsidRDefault="002A5E66" w:rsidP="009F0368">
                  <w:pPr>
                    <w:pStyle w:val="Tabletext"/>
                  </w:pPr>
                </w:p>
              </w:tc>
              <w:tc>
                <w:tcPr>
                  <w:tcW w:w="1821" w:type="dxa"/>
                </w:tcPr>
                <w:p w14:paraId="591894A5" w14:textId="77777777" w:rsidR="002A5E66" w:rsidRPr="009349D7" w:rsidRDefault="002A5E66" w:rsidP="009F0368">
                  <w:pPr>
                    <w:pStyle w:val="Tabletext"/>
                  </w:pPr>
                </w:p>
              </w:tc>
            </w:tr>
            <w:tr w:rsidR="000508FA" w:rsidRPr="009349D7" w14:paraId="6845080D" w14:textId="77777777" w:rsidTr="000508FA">
              <w:trPr>
                <w:trHeight w:val="300"/>
              </w:trPr>
              <w:tc>
                <w:tcPr>
                  <w:tcW w:w="7665" w:type="dxa"/>
                  <w:gridSpan w:val="4"/>
                  <w:shd w:val="clear" w:color="auto" w:fill="D0CECE" w:themeFill="background2" w:themeFillShade="E6"/>
                </w:tcPr>
                <w:p w14:paraId="195EE35C" w14:textId="1B9988AE" w:rsidR="000508FA" w:rsidRPr="009349D7" w:rsidRDefault="000508FA" w:rsidP="000508FA">
                  <w:pPr>
                    <w:pStyle w:val="Tablecolumnheading"/>
                  </w:pPr>
                  <w:r w:rsidRPr="002F58A2">
                    <w:t>Older patients and those with co-morbid conditions</w:t>
                  </w:r>
                </w:p>
              </w:tc>
            </w:tr>
            <w:tr w:rsidR="002A5E66" w:rsidRPr="009349D7" w14:paraId="1C581AC6" w14:textId="77777777" w:rsidTr="00F245C0">
              <w:trPr>
                <w:trHeight w:val="300"/>
              </w:trPr>
              <w:tc>
                <w:tcPr>
                  <w:tcW w:w="2710" w:type="dxa"/>
                </w:tcPr>
                <w:p w14:paraId="4819D6A3" w14:textId="61BE18CD" w:rsidR="002A5E66" w:rsidRDefault="003A2580" w:rsidP="00426A8C">
                  <w:pPr>
                    <w:pStyle w:val="Numberedlist"/>
                    <w:numPr>
                      <w:ilvl w:val="0"/>
                      <w:numId w:val="18"/>
                    </w:numPr>
                    <w:ind w:left="425" w:hanging="425"/>
                  </w:pPr>
                  <w:r w:rsidRPr="00856151">
                    <w:rPr>
                      <w:color w:val="000000"/>
                    </w:rPr>
                    <w:t>R-miniCHOP (50% dosing of cyclophosphamide [400 mg/m</w:t>
                  </w:r>
                  <w:r w:rsidRPr="0024704A">
                    <w:rPr>
                      <w:color w:val="000000"/>
                      <w:vertAlign w:val="superscript"/>
                    </w:rPr>
                    <w:t>2</w:t>
                  </w:r>
                  <w:r w:rsidRPr="00856151">
                    <w:rPr>
                      <w:color w:val="000000"/>
                    </w:rPr>
                    <w:t>], doxorubicin [25 mg/m</w:t>
                  </w:r>
                  <w:r w:rsidRPr="0024704A">
                    <w:rPr>
                      <w:color w:val="000000"/>
                      <w:vertAlign w:val="superscript"/>
                    </w:rPr>
                    <w:t>2</w:t>
                  </w:r>
                  <w:r w:rsidRPr="00856151">
                    <w:rPr>
                      <w:color w:val="000000"/>
                    </w:rPr>
                    <w:t>] and vincristine [1 mg])</w:t>
                  </w:r>
                  <w:r>
                    <w:rPr>
                      <w:color w:val="000000"/>
                    </w:rPr>
                    <w:t xml:space="preserve"> was offered</w:t>
                  </w:r>
                  <w:r w:rsidRPr="00856151">
                    <w:rPr>
                      <w:color w:val="000000"/>
                    </w:rPr>
                    <w:t xml:space="preserve"> to patients ≥ 80 years </w:t>
                  </w:r>
                  <w:r w:rsidRPr="002D2665">
                    <w:rPr>
                      <w:color w:val="000000"/>
                    </w:rPr>
                    <w:t>and suitable for anthracycline</w:t>
                  </w:r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399" w:type="dxa"/>
                </w:tcPr>
                <w:p w14:paraId="224C0D26" w14:textId="77777777" w:rsidR="002A5E66" w:rsidRPr="009349D7" w:rsidRDefault="002A5E66" w:rsidP="009F0368">
                  <w:pPr>
                    <w:pStyle w:val="Tabletext"/>
                  </w:pPr>
                </w:p>
              </w:tc>
              <w:tc>
                <w:tcPr>
                  <w:tcW w:w="1735" w:type="dxa"/>
                </w:tcPr>
                <w:p w14:paraId="5AA12DCA" w14:textId="77777777" w:rsidR="002A5E66" w:rsidRPr="009349D7" w:rsidRDefault="002A5E66" w:rsidP="009F0368">
                  <w:pPr>
                    <w:pStyle w:val="Tabletext"/>
                  </w:pPr>
                </w:p>
              </w:tc>
              <w:tc>
                <w:tcPr>
                  <w:tcW w:w="1821" w:type="dxa"/>
                </w:tcPr>
                <w:p w14:paraId="7466870E" w14:textId="77777777" w:rsidR="002A5E66" w:rsidRPr="009349D7" w:rsidRDefault="002A5E66" w:rsidP="009F0368">
                  <w:pPr>
                    <w:pStyle w:val="Tabletext"/>
                  </w:pPr>
                </w:p>
              </w:tc>
            </w:tr>
            <w:tr w:rsidR="002A5E66" w:rsidRPr="009349D7" w14:paraId="16882705" w14:textId="77777777" w:rsidTr="00F245C0">
              <w:trPr>
                <w:trHeight w:val="300"/>
              </w:trPr>
              <w:tc>
                <w:tcPr>
                  <w:tcW w:w="2710" w:type="dxa"/>
                </w:tcPr>
                <w:p w14:paraId="3BBC681F" w14:textId="49B77ACE" w:rsidR="002A5E66" w:rsidRDefault="003201A7" w:rsidP="00426A8C">
                  <w:pPr>
                    <w:pStyle w:val="Numberedlist"/>
                    <w:numPr>
                      <w:ilvl w:val="0"/>
                      <w:numId w:val="16"/>
                    </w:numPr>
                    <w:ind w:left="425" w:hanging="425"/>
                  </w:pPr>
                  <w:r w:rsidRPr="00856151">
                    <w:rPr>
                      <w:color w:val="000000"/>
                    </w:rPr>
                    <w:t xml:space="preserve">Non-anthracycline-based regimen </w:t>
                  </w:r>
                  <w:r>
                    <w:rPr>
                      <w:color w:val="000000"/>
                    </w:rPr>
                    <w:t>was offered to</w:t>
                  </w:r>
                  <w:r w:rsidRPr="00856151">
                    <w:rPr>
                      <w:color w:val="000000"/>
                    </w:rPr>
                    <w:t xml:space="preserve"> patients with cardiac co-morbidities unsuitable for anthracyclines</w:t>
                  </w:r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399" w:type="dxa"/>
                </w:tcPr>
                <w:p w14:paraId="45F34A06" w14:textId="77777777" w:rsidR="002A5E66" w:rsidRPr="009349D7" w:rsidRDefault="002A5E66" w:rsidP="009F0368">
                  <w:pPr>
                    <w:pStyle w:val="Tabletext"/>
                  </w:pPr>
                </w:p>
              </w:tc>
              <w:tc>
                <w:tcPr>
                  <w:tcW w:w="1735" w:type="dxa"/>
                </w:tcPr>
                <w:p w14:paraId="216B9D13" w14:textId="77777777" w:rsidR="002A5E66" w:rsidRPr="009349D7" w:rsidRDefault="002A5E66" w:rsidP="009F0368">
                  <w:pPr>
                    <w:pStyle w:val="Tabletext"/>
                  </w:pPr>
                </w:p>
              </w:tc>
              <w:tc>
                <w:tcPr>
                  <w:tcW w:w="1821" w:type="dxa"/>
                </w:tcPr>
                <w:p w14:paraId="3875B406" w14:textId="77777777" w:rsidR="002A5E66" w:rsidRPr="009349D7" w:rsidRDefault="002A5E66" w:rsidP="009F0368">
                  <w:pPr>
                    <w:pStyle w:val="Tabletext"/>
                  </w:pPr>
                </w:p>
              </w:tc>
            </w:tr>
            <w:tr w:rsidR="00A3205C" w:rsidRPr="009349D7" w14:paraId="17FC042C" w14:textId="77777777" w:rsidTr="00A3205C">
              <w:trPr>
                <w:trHeight w:val="300"/>
              </w:trPr>
              <w:tc>
                <w:tcPr>
                  <w:tcW w:w="7665" w:type="dxa"/>
                  <w:gridSpan w:val="4"/>
                  <w:shd w:val="clear" w:color="auto" w:fill="D0CECE" w:themeFill="background2" w:themeFillShade="E6"/>
                </w:tcPr>
                <w:p w14:paraId="5FF01254" w14:textId="1A8063FA" w:rsidR="00A3205C" w:rsidRPr="009349D7" w:rsidRDefault="00A3205C" w:rsidP="00A3205C">
                  <w:pPr>
                    <w:pStyle w:val="Tablecolumnheading"/>
                  </w:pPr>
                  <w:r w:rsidRPr="00A3205C">
                    <w:t>End-of-</w:t>
                  </w:r>
                  <w:r>
                    <w:t>t</w:t>
                  </w:r>
                  <w:r w:rsidRPr="00A3205C">
                    <w:t>reatment response assessment and follow-up</w:t>
                  </w:r>
                </w:p>
              </w:tc>
            </w:tr>
            <w:tr w:rsidR="002A5E66" w:rsidRPr="009349D7" w14:paraId="2244A639" w14:textId="77777777" w:rsidTr="00F245C0">
              <w:trPr>
                <w:trHeight w:val="300"/>
              </w:trPr>
              <w:tc>
                <w:tcPr>
                  <w:tcW w:w="2710" w:type="dxa"/>
                </w:tcPr>
                <w:p w14:paraId="6EABCC24" w14:textId="2EDF82DE" w:rsidR="002A5E66" w:rsidRDefault="00125130" w:rsidP="00426A8C">
                  <w:pPr>
                    <w:pStyle w:val="Numberedlist"/>
                    <w:numPr>
                      <w:ilvl w:val="0"/>
                      <w:numId w:val="19"/>
                    </w:numPr>
                    <w:ind w:left="425" w:hanging="425"/>
                  </w:pPr>
                  <w:r w:rsidRPr="00AD3CA6">
                    <w:rPr>
                      <w:color w:val="000000"/>
                    </w:rPr>
                    <w:lastRenderedPageBreak/>
                    <w:t xml:space="preserve">For patients without a CMR on iPET2 (or for patients who </w:t>
                  </w:r>
                  <w:r>
                    <w:rPr>
                      <w:color w:val="000000"/>
                    </w:rPr>
                    <w:t>had</w:t>
                  </w:r>
                  <w:r w:rsidRPr="00AD3CA6">
                    <w:rPr>
                      <w:color w:val="000000"/>
                    </w:rPr>
                    <w:t xml:space="preserve"> not undergone an iPET2), an end-of-treatment PET-CT scan </w:t>
                  </w:r>
                  <w:r>
                    <w:rPr>
                      <w:color w:val="000000"/>
                    </w:rPr>
                    <w:t>was</w:t>
                  </w:r>
                  <w:r w:rsidRPr="00AD3CA6">
                    <w:rPr>
                      <w:color w:val="000000"/>
                    </w:rPr>
                    <w:t xml:space="preserve"> performed</w:t>
                  </w:r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399" w:type="dxa"/>
                </w:tcPr>
                <w:p w14:paraId="4FC37F2F" w14:textId="77777777" w:rsidR="002A5E66" w:rsidRPr="009349D7" w:rsidRDefault="002A5E66" w:rsidP="009F0368">
                  <w:pPr>
                    <w:pStyle w:val="Tabletext"/>
                  </w:pPr>
                </w:p>
              </w:tc>
              <w:tc>
                <w:tcPr>
                  <w:tcW w:w="1735" w:type="dxa"/>
                </w:tcPr>
                <w:p w14:paraId="19F2FC87" w14:textId="77777777" w:rsidR="002A5E66" w:rsidRPr="009349D7" w:rsidRDefault="002A5E66" w:rsidP="009F0368">
                  <w:pPr>
                    <w:pStyle w:val="Tabletext"/>
                  </w:pPr>
                </w:p>
              </w:tc>
              <w:tc>
                <w:tcPr>
                  <w:tcW w:w="1821" w:type="dxa"/>
                </w:tcPr>
                <w:p w14:paraId="19CE8157" w14:textId="77777777" w:rsidR="002A5E66" w:rsidRPr="009349D7" w:rsidRDefault="002A5E66" w:rsidP="009F0368">
                  <w:pPr>
                    <w:pStyle w:val="Tabletext"/>
                  </w:pPr>
                </w:p>
              </w:tc>
            </w:tr>
            <w:tr w:rsidR="002A5E66" w:rsidRPr="009349D7" w14:paraId="31DE2DB0" w14:textId="77777777" w:rsidTr="00F245C0">
              <w:trPr>
                <w:trHeight w:val="300"/>
              </w:trPr>
              <w:tc>
                <w:tcPr>
                  <w:tcW w:w="2710" w:type="dxa"/>
                </w:tcPr>
                <w:p w14:paraId="58025D4A" w14:textId="5B892FD3" w:rsidR="002A5E66" w:rsidRDefault="00F245C0" w:rsidP="00426A8C">
                  <w:pPr>
                    <w:pStyle w:val="Numberedlist"/>
                    <w:numPr>
                      <w:ilvl w:val="0"/>
                      <w:numId w:val="16"/>
                    </w:numPr>
                    <w:ind w:left="425" w:hanging="425"/>
                  </w:pPr>
                  <w:r w:rsidRPr="00E6096E">
                    <w:rPr>
                      <w:color w:val="000000"/>
                    </w:rPr>
                    <w:t>For patients with residual foci of fluorodeoxyglucose (FDG)-uptake, biopsy of FDG-avid lesions should be undertaken or repeat PET-CT should be offered at an 8- to 12-week interval, where tissue biopsy is not possible</w:t>
                  </w:r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399" w:type="dxa"/>
                </w:tcPr>
                <w:p w14:paraId="6DC1BD51" w14:textId="77777777" w:rsidR="002A5E66" w:rsidRPr="009349D7" w:rsidRDefault="002A5E66" w:rsidP="009F0368">
                  <w:pPr>
                    <w:pStyle w:val="Tabletext"/>
                  </w:pPr>
                </w:p>
              </w:tc>
              <w:tc>
                <w:tcPr>
                  <w:tcW w:w="1735" w:type="dxa"/>
                </w:tcPr>
                <w:p w14:paraId="3C88B9AC" w14:textId="77777777" w:rsidR="002A5E66" w:rsidRPr="009349D7" w:rsidRDefault="002A5E66" w:rsidP="009F0368">
                  <w:pPr>
                    <w:pStyle w:val="Tabletext"/>
                  </w:pPr>
                </w:p>
              </w:tc>
              <w:tc>
                <w:tcPr>
                  <w:tcW w:w="1821" w:type="dxa"/>
                </w:tcPr>
                <w:p w14:paraId="6447CF07" w14:textId="77777777" w:rsidR="002A5E66" w:rsidRPr="009349D7" w:rsidRDefault="002A5E66" w:rsidP="009F0368">
                  <w:pPr>
                    <w:pStyle w:val="Tabletext"/>
                  </w:pPr>
                </w:p>
              </w:tc>
            </w:tr>
          </w:tbl>
          <w:p w14:paraId="33C1ABC1" w14:textId="1821AEB8" w:rsidR="007A10E7" w:rsidRPr="0029610F" w:rsidRDefault="008317B0" w:rsidP="0029610F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Commentary:</w:t>
            </w:r>
          </w:p>
          <w:p w14:paraId="4C21FCF8" w14:textId="5FE6C934" w:rsidR="007A10E7" w:rsidRPr="009349D7" w:rsidRDefault="007A10E7" w:rsidP="00DC14AC">
            <w:pPr>
              <w:rPr>
                <w:rFonts w:cs="Arial"/>
                <w:b/>
                <w:szCs w:val="24"/>
              </w:rPr>
            </w:pPr>
          </w:p>
        </w:tc>
      </w:tr>
      <w:tr w:rsidR="008628C3" w:rsidRPr="00077B16" w14:paraId="0B06E3F0" w14:textId="77777777" w:rsidTr="0025747C">
        <w:trPr>
          <w:trHeight w:val="469"/>
        </w:trPr>
        <w:tc>
          <w:tcPr>
            <w:tcW w:w="1668" w:type="dxa"/>
          </w:tcPr>
          <w:p w14:paraId="4CAABCEC" w14:textId="77777777" w:rsidR="008628C3" w:rsidRPr="009349D7" w:rsidRDefault="008628C3" w:rsidP="00876760">
            <w:pPr>
              <w:pStyle w:val="Rowheading"/>
            </w:pPr>
            <w:r w:rsidRPr="009349D7">
              <w:lastRenderedPageBreak/>
              <w:t>Conclusion</w:t>
            </w:r>
          </w:p>
        </w:tc>
        <w:tc>
          <w:tcPr>
            <w:tcW w:w="8186" w:type="dxa"/>
          </w:tcPr>
          <w:p w14:paraId="54F6617D" w14:textId="2A569065" w:rsidR="008628C3" w:rsidRPr="009349D7" w:rsidRDefault="008628C3" w:rsidP="0029610F">
            <w:pPr>
              <w:pStyle w:val="Bodytextredfont"/>
            </w:pPr>
            <w:r w:rsidRPr="009349D7">
              <w:t>(To be completed by the author)</w:t>
            </w:r>
          </w:p>
        </w:tc>
      </w:tr>
      <w:tr w:rsidR="008628C3" w:rsidRPr="00077B16" w14:paraId="5BF6DC79" w14:textId="77777777" w:rsidTr="0025747C">
        <w:trPr>
          <w:trHeight w:val="58"/>
        </w:trPr>
        <w:tc>
          <w:tcPr>
            <w:tcW w:w="1668" w:type="dxa"/>
          </w:tcPr>
          <w:p w14:paraId="22631467" w14:textId="77777777" w:rsidR="008628C3" w:rsidRPr="009349D7" w:rsidRDefault="008628C3" w:rsidP="00876760">
            <w:pPr>
              <w:pStyle w:val="Rowheading"/>
            </w:pPr>
            <w:r w:rsidRPr="009349D7">
              <w:t>Recommend-</w:t>
            </w:r>
            <w:r w:rsidRPr="009349D7">
              <w:br/>
              <w:t>ations for improvement</w:t>
            </w:r>
          </w:p>
          <w:p w14:paraId="4E127F52" w14:textId="77777777" w:rsidR="008628C3" w:rsidRPr="009349D7" w:rsidRDefault="008628C3" w:rsidP="00876760">
            <w:pPr>
              <w:pStyle w:val="Rowheading"/>
            </w:pPr>
          </w:p>
          <w:p w14:paraId="7AD9482C" w14:textId="77777777" w:rsidR="008628C3" w:rsidRPr="009349D7" w:rsidRDefault="008628C3" w:rsidP="00876760">
            <w:pPr>
              <w:pStyle w:val="Rowheading"/>
            </w:pPr>
          </w:p>
          <w:p w14:paraId="6ED49695" w14:textId="77777777" w:rsidR="008628C3" w:rsidRPr="009349D7" w:rsidRDefault="008628C3" w:rsidP="00876760">
            <w:pPr>
              <w:pStyle w:val="Rowheading"/>
            </w:pPr>
          </w:p>
        </w:tc>
        <w:tc>
          <w:tcPr>
            <w:tcW w:w="8186" w:type="dxa"/>
          </w:tcPr>
          <w:p w14:paraId="6CA1B6E8" w14:textId="75044DDB" w:rsidR="008628C3" w:rsidRPr="009349D7" w:rsidRDefault="008628C3" w:rsidP="0029610F">
            <w:r w:rsidRPr="009349D7">
              <w:t>Present the result with recommendations, actions</w:t>
            </w:r>
            <w:r w:rsidR="008317B0" w:rsidRPr="009349D7">
              <w:t xml:space="preserve"> </w:t>
            </w:r>
            <w:r w:rsidRPr="009349D7">
              <w:t>and responsibilities for action and a timescale for implementation. Assign a person</w:t>
            </w:r>
            <w:r w:rsidR="007F21DF" w:rsidRPr="009349D7">
              <w:t>(</w:t>
            </w:r>
            <w:r w:rsidRPr="009349D7">
              <w:t>s</w:t>
            </w:r>
            <w:r w:rsidR="007F21DF" w:rsidRPr="009349D7">
              <w:t>)</w:t>
            </w:r>
            <w:r w:rsidRPr="009349D7">
              <w:t xml:space="preserve"> responsible to do the work within a timeframe.</w:t>
            </w:r>
          </w:p>
          <w:p w14:paraId="12F2C7F6" w14:textId="77777777" w:rsidR="008628C3" w:rsidRPr="0029610F" w:rsidRDefault="008628C3" w:rsidP="0029610F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Some suggestions:</w:t>
            </w:r>
          </w:p>
          <w:p w14:paraId="06EDEE94" w14:textId="77777777" w:rsidR="008628C3" w:rsidRPr="0029610F" w:rsidRDefault="008628C3" w:rsidP="0029610F">
            <w:pPr>
              <w:pStyle w:val="ListParagraph"/>
            </w:pPr>
            <w:r w:rsidRPr="0029610F">
              <w:t>highlight areas of practice that are different</w:t>
            </w:r>
          </w:p>
          <w:p w14:paraId="1C0DE42A" w14:textId="63EF759E" w:rsidR="008628C3" w:rsidRPr="009349D7" w:rsidRDefault="008628C3" w:rsidP="0029610F">
            <w:pPr>
              <w:pStyle w:val="ListParagraph"/>
            </w:pPr>
            <w:r w:rsidRPr="0029610F">
              <w:t>present findings.</w:t>
            </w:r>
          </w:p>
        </w:tc>
      </w:tr>
      <w:tr w:rsidR="005E1060" w:rsidRPr="00077B16" w14:paraId="3AB83BB0" w14:textId="77777777" w:rsidTr="0025747C">
        <w:trPr>
          <w:trHeight w:val="58"/>
        </w:trPr>
        <w:tc>
          <w:tcPr>
            <w:tcW w:w="1668" w:type="dxa"/>
          </w:tcPr>
          <w:p w14:paraId="7B1DBC85" w14:textId="1FF56588" w:rsidR="005E1060" w:rsidRPr="009349D7" w:rsidRDefault="005E1060" w:rsidP="00876760">
            <w:pPr>
              <w:pStyle w:val="Rowheading"/>
            </w:pPr>
            <w:r w:rsidRPr="009349D7">
              <w:t>Action plan</w:t>
            </w:r>
          </w:p>
        </w:tc>
        <w:tc>
          <w:tcPr>
            <w:tcW w:w="8186" w:type="dxa"/>
          </w:tcPr>
          <w:p w14:paraId="3ED634E6" w14:textId="3A02274B" w:rsidR="005E1060" w:rsidRPr="009349D7" w:rsidRDefault="005E1060" w:rsidP="0029610F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8628C3" w:rsidRPr="00077B16" w14:paraId="2456F3A2" w14:textId="77777777" w:rsidTr="0025747C">
        <w:trPr>
          <w:trHeight w:val="58"/>
        </w:trPr>
        <w:tc>
          <w:tcPr>
            <w:tcW w:w="1668" w:type="dxa"/>
          </w:tcPr>
          <w:p w14:paraId="2874F728" w14:textId="77777777" w:rsidR="008628C3" w:rsidRPr="009349D7" w:rsidRDefault="008628C3" w:rsidP="00876760">
            <w:pPr>
              <w:pStyle w:val="Rowheading"/>
            </w:pPr>
            <w:r w:rsidRPr="009349D7">
              <w:lastRenderedPageBreak/>
              <w:t>Re-audit date</w:t>
            </w:r>
          </w:p>
        </w:tc>
        <w:tc>
          <w:tcPr>
            <w:tcW w:w="8186" w:type="dxa"/>
          </w:tcPr>
          <w:p w14:paraId="2A3A9445" w14:textId="77777777" w:rsidR="008628C3" w:rsidRPr="009349D7" w:rsidRDefault="008628C3" w:rsidP="0029610F">
            <w:pPr>
              <w:pStyle w:val="Bodytextredfont"/>
            </w:pPr>
            <w:r w:rsidRPr="009349D7">
              <w:t>(To be completed by the author)</w:t>
            </w:r>
          </w:p>
        </w:tc>
      </w:tr>
      <w:tr w:rsidR="008317B0" w:rsidRPr="00077B16" w14:paraId="7E5BF0AE" w14:textId="77777777" w:rsidTr="0025747C">
        <w:trPr>
          <w:trHeight w:val="469"/>
        </w:trPr>
        <w:tc>
          <w:tcPr>
            <w:tcW w:w="1668" w:type="dxa"/>
          </w:tcPr>
          <w:p w14:paraId="6DDCB30D" w14:textId="4FB705CA" w:rsidR="008317B0" w:rsidRPr="009349D7" w:rsidRDefault="008317B0" w:rsidP="00876760">
            <w:pPr>
              <w:pStyle w:val="Rowheading"/>
            </w:pPr>
            <w:r w:rsidRPr="009349D7">
              <w:t>Reference</w:t>
            </w:r>
            <w:r w:rsidR="008D69A3" w:rsidRPr="009349D7">
              <w:t>s</w:t>
            </w:r>
          </w:p>
          <w:p w14:paraId="36CD5C27" w14:textId="16D11343" w:rsidR="00B420AD" w:rsidRPr="009349D7" w:rsidRDefault="00B420AD" w:rsidP="00876760">
            <w:pPr>
              <w:pStyle w:val="Rowheading"/>
            </w:pPr>
          </w:p>
        </w:tc>
        <w:tc>
          <w:tcPr>
            <w:tcW w:w="8186" w:type="dxa"/>
          </w:tcPr>
          <w:p w14:paraId="7F5516E3" w14:textId="7454D4A5" w:rsidR="008317B0" w:rsidRPr="00876760" w:rsidRDefault="000029BC" w:rsidP="00426A8C">
            <w:pPr>
              <w:pStyle w:val="Numberedlist"/>
              <w:numPr>
                <w:ilvl w:val="0"/>
                <w:numId w:val="11"/>
              </w:numPr>
              <w:ind w:left="425" w:hanging="425"/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ADDIN EN.REFLIST </w:instrText>
            </w:r>
            <w:r>
              <w:rPr>
                <w:bCs/>
              </w:rPr>
              <w:fldChar w:fldCharType="separate"/>
            </w:r>
            <w:r w:rsidRPr="001E76F6">
              <w:rPr>
                <w:noProof/>
              </w:rPr>
              <w:t>Fox CP, Chaganti S, McIlroy G, Barrington SF, Burton C, Cwynarski K</w:t>
            </w:r>
            <w:r w:rsidRPr="001E76F6">
              <w:rPr>
                <w:i/>
                <w:noProof/>
              </w:rPr>
              <w:t xml:space="preserve"> et al.</w:t>
            </w:r>
            <w:r w:rsidRPr="001E76F6">
              <w:rPr>
                <w:noProof/>
              </w:rPr>
              <w:t xml:space="preserve"> The management of newly diagnosed large b-cell lymphoma: A </w:t>
            </w:r>
            <w:r w:rsidR="00340CAD">
              <w:rPr>
                <w:noProof/>
              </w:rPr>
              <w:t>B</w:t>
            </w:r>
            <w:r w:rsidRPr="001E76F6">
              <w:rPr>
                <w:noProof/>
              </w:rPr>
              <w:t>ritish</w:t>
            </w:r>
            <w:r w:rsidR="00340CAD">
              <w:rPr>
                <w:noProof/>
              </w:rPr>
              <w:t xml:space="preserve"> S</w:t>
            </w:r>
            <w:r w:rsidRPr="001E76F6">
              <w:rPr>
                <w:noProof/>
              </w:rPr>
              <w:t xml:space="preserve">ociety for </w:t>
            </w:r>
            <w:r w:rsidR="00340CAD">
              <w:rPr>
                <w:noProof/>
              </w:rPr>
              <w:t>H</w:t>
            </w:r>
            <w:r w:rsidRPr="001E76F6">
              <w:rPr>
                <w:noProof/>
              </w:rPr>
              <w:t xml:space="preserve">aematology </w:t>
            </w:r>
            <w:r w:rsidR="00340CAD">
              <w:rPr>
                <w:noProof/>
              </w:rPr>
              <w:t>G</w:t>
            </w:r>
            <w:r w:rsidRPr="001E76F6">
              <w:rPr>
                <w:noProof/>
              </w:rPr>
              <w:t xml:space="preserve">uideline. </w:t>
            </w:r>
            <w:r w:rsidRPr="001E76F6">
              <w:rPr>
                <w:i/>
                <w:noProof/>
              </w:rPr>
              <w:t>Br J Haematol</w:t>
            </w:r>
            <w:r w:rsidRPr="001E76F6">
              <w:rPr>
                <w:noProof/>
              </w:rPr>
              <w:t xml:space="preserve"> 2024;204:1178–1192.</w:t>
            </w:r>
            <w:r>
              <w:rPr>
                <w:bCs/>
              </w:rPr>
              <w:fldChar w:fldCharType="end"/>
            </w:r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3DBDFA0A" w14:textId="46F46759" w:rsidR="009929C5" w:rsidRPr="001F037A" w:rsidRDefault="00860AF9" w:rsidP="001F037A">
      <w:pPr>
        <w:pStyle w:val="Heading2"/>
      </w:pPr>
      <w:r w:rsidRPr="00077B16">
        <w:rPr>
          <w:bCs/>
        </w:rPr>
        <w:br w:type="page"/>
      </w:r>
      <w:r w:rsidR="00DC30A2" w:rsidRPr="009349D7">
        <w:lastRenderedPageBreak/>
        <w:t xml:space="preserve">Data collection proforma </w:t>
      </w:r>
      <w:r w:rsidR="003B186F" w:rsidRPr="009349D7">
        <w:t xml:space="preserve">for </w:t>
      </w:r>
      <w:r w:rsidR="001D5301">
        <w:t>patients (</w:t>
      </w:r>
      <w:r w:rsidR="00151871">
        <w:t>t</w:t>
      </w:r>
      <w:r w:rsidR="001D5301">
        <w:t>he management of newly diagnosed large B-cell lymphoma)</w:t>
      </w:r>
    </w:p>
    <w:p w14:paraId="3C2E1AFD" w14:textId="38718998" w:rsidR="00253E1A" w:rsidRPr="009349D7" w:rsidRDefault="009929C5" w:rsidP="001F037A">
      <w:pPr>
        <w:pStyle w:val="Heading2"/>
      </w:pPr>
      <w:r w:rsidRPr="009349D7">
        <w:t xml:space="preserve">Audit reviewing </w:t>
      </w:r>
      <w:r w:rsidR="001D5301">
        <w:t>practice</w:t>
      </w:r>
    </w:p>
    <w:p w14:paraId="4FCE2F14" w14:textId="77777777" w:rsidR="009929C5" w:rsidRPr="009349D7" w:rsidRDefault="009929C5" w:rsidP="00745A21">
      <w:pPr>
        <w:rPr>
          <w:rFonts w:cs="Arial"/>
          <w:szCs w:val="24"/>
        </w:rPr>
      </w:pPr>
    </w:p>
    <w:p w14:paraId="110865F9" w14:textId="5A89209F" w:rsidR="00BF12ED" w:rsidRPr="009349D7" w:rsidRDefault="00BF12ED" w:rsidP="001F037A">
      <w:r w:rsidRPr="009349D7">
        <w:t>Patient name:</w:t>
      </w:r>
    </w:p>
    <w:p w14:paraId="58B926AE" w14:textId="59B56AAC" w:rsidR="00BF12ED" w:rsidRPr="009349D7" w:rsidRDefault="00BF12ED" w:rsidP="001F037A">
      <w:r w:rsidRPr="009349D7">
        <w:t>Hospital number:</w:t>
      </w:r>
    </w:p>
    <w:p w14:paraId="77098E25" w14:textId="1FCA2C71" w:rsidR="00BF12ED" w:rsidRPr="009349D7" w:rsidRDefault="00BF12ED" w:rsidP="001F037A">
      <w:r w:rsidRPr="009349D7">
        <w:t xml:space="preserve">Date of birth: </w:t>
      </w:r>
      <w:r w:rsidRPr="009349D7">
        <w:tab/>
      </w:r>
      <w:r w:rsidRPr="009349D7">
        <w:tab/>
      </w:r>
      <w:r w:rsidRPr="009349D7">
        <w:tab/>
      </w:r>
    </w:p>
    <w:p w14:paraId="34579EE0" w14:textId="2A17AA5E" w:rsidR="007637F5" w:rsidRPr="009349D7" w:rsidRDefault="00BF12ED" w:rsidP="001F037A">
      <w:r w:rsidRPr="009349D7">
        <w:t>Consultant:</w:t>
      </w:r>
    </w:p>
    <w:p w14:paraId="4030B05B" w14:textId="136FE3E9" w:rsidR="00603ECE" w:rsidRPr="001F037A" w:rsidRDefault="0051663B" w:rsidP="001F037A">
      <w:r w:rsidRPr="009349D7">
        <w:t xml:space="preserve">Case number: 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6"/>
        <w:gridCol w:w="644"/>
        <w:gridCol w:w="567"/>
        <w:gridCol w:w="2403"/>
        <w:gridCol w:w="2644"/>
      </w:tblGrid>
      <w:tr w:rsidR="00F90502" w:rsidRPr="00077B16" w14:paraId="096252DE" w14:textId="77777777" w:rsidTr="0088605A">
        <w:trPr>
          <w:cantSplit/>
          <w:trHeight w:val="128"/>
        </w:trPr>
        <w:tc>
          <w:tcPr>
            <w:tcW w:w="3596" w:type="dxa"/>
            <w:tcBorders>
              <w:bottom w:val="single" w:sz="4" w:space="0" w:color="auto"/>
            </w:tcBorders>
          </w:tcPr>
          <w:p w14:paraId="26EA664E" w14:textId="13F2ACBB" w:rsidR="006B091F" w:rsidRPr="0088605A" w:rsidRDefault="00F90502" w:rsidP="001F037A">
            <w:pPr>
              <w:pStyle w:val="Tabletext"/>
              <w:rPr>
                <w:b/>
                <w:bCs/>
              </w:rPr>
            </w:pPr>
            <w:r w:rsidRPr="0088605A">
              <w:rPr>
                <w:b/>
                <w:bCs/>
              </w:rPr>
              <w:t>Standard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0963909C" w14:textId="77777777" w:rsidR="006B091F" w:rsidRPr="001F037A" w:rsidRDefault="006B091F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1</w:t>
            </w:r>
          </w:p>
          <w:p w14:paraId="4BAF7515" w14:textId="6F7C2D75" w:rsidR="006B091F" w:rsidRPr="0088605A" w:rsidRDefault="00F90502" w:rsidP="001F037A">
            <w:pPr>
              <w:pStyle w:val="Tabletext"/>
              <w:rPr>
                <w:b/>
                <w:bCs/>
              </w:rPr>
            </w:pPr>
            <w:r w:rsidRPr="0088605A">
              <w:rPr>
                <w:b/>
                <w:bCs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2B7A40" w14:textId="77777777" w:rsidR="006B091F" w:rsidRPr="001F037A" w:rsidRDefault="006B091F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2</w:t>
            </w:r>
          </w:p>
          <w:p w14:paraId="0FFDB801" w14:textId="4897A978" w:rsidR="006B091F" w:rsidRPr="0088605A" w:rsidRDefault="00F90502" w:rsidP="001F037A">
            <w:pPr>
              <w:pStyle w:val="Tabletext"/>
              <w:rPr>
                <w:b/>
                <w:bCs/>
              </w:rPr>
            </w:pPr>
            <w:r w:rsidRPr="0088605A">
              <w:rPr>
                <w:b/>
                <w:bCs/>
              </w:rPr>
              <w:t>No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388AE2C" w14:textId="77777777" w:rsidR="0051663B" w:rsidRPr="001F037A" w:rsidRDefault="006B091F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3</w:t>
            </w:r>
            <w:r w:rsidRPr="001F037A">
              <w:rPr>
                <w:b/>
              </w:rPr>
              <w:tab/>
            </w:r>
          </w:p>
          <w:p w14:paraId="7D8E7D1C" w14:textId="0AC5AF8F" w:rsidR="006B091F" w:rsidRPr="00781C28" w:rsidRDefault="00F90502" w:rsidP="001F037A">
            <w:pPr>
              <w:pStyle w:val="Tabletext"/>
            </w:pPr>
            <w:r>
              <w:t>If shaded box not ticked, was there documentation to explain the variance?</w:t>
            </w:r>
            <w:r w:rsidR="0088605A">
              <w:t xml:space="preserve"> </w:t>
            </w:r>
            <w:r w:rsidR="0088605A" w:rsidRPr="0088605A">
              <w:rPr>
                <w:b/>
                <w:bCs/>
              </w:rPr>
              <w:t>Yes/No</w:t>
            </w:r>
            <w:r w:rsidR="0088605A">
              <w:t xml:space="preserve"> plus free-text comment.</w:t>
            </w: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14:paraId="3C031C85" w14:textId="77777777" w:rsidR="00F43B1C" w:rsidRPr="001F037A" w:rsidRDefault="12496189" w:rsidP="001F037A">
            <w:pPr>
              <w:pStyle w:val="Tabletext"/>
              <w:rPr>
                <w:b/>
              </w:rPr>
            </w:pPr>
            <w:r w:rsidRPr="001F037A">
              <w:rPr>
                <w:b/>
              </w:rPr>
              <w:t>4</w:t>
            </w:r>
            <w:r w:rsidR="006B091F" w:rsidRPr="001F037A">
              <w:rPr>
                <w:b/>
              </w:rPr>
              <w:tab/>
            </w:r>
          </w:p>
          <w:p w14:paraId="620DF179" w14:textId="7A245877" w:rsidR="006B091F" w:rsidRPr="001F037A" w:rsidRDefault="12496189" w:rsidP="001F037A">
            <w:pPr>
              <w:pStyle w:val="Tabletext"/>
              <w:rPr>
                <w:b/>
              </w:rPr>
            </w:pPr>
            <w:r w:rsidRPr="00781C28">
              <w:t xml:space="preserve">Compliant with guideline </w:t>
            </w:r>
            <w:r w:rsidR="00F90502">
              <w:t>if shaded box ticked or an appro</w:t>
            </w:r>
            <w:r w:rsidR="00EB03E3">
              <w:t xml:space="preserve">priate explanation from </w:t>
            </w:r>
            <w:r w:rsidR="00CA3D4B" w:rsidRPr="00781C28">
              <w:t xml:space="preserve">column </w:t>
            </w:r>
            <w:r w:rsidRPr="00781C28">
              <w:t>3</w:t>
            </w:r>
            <w:r w:rsidRPr="00781C28">
              <w:rPr>
                <w:bCs/>
              </w:rPr>
              <w:t xml:space="preserve"> </w:t>
            </w:r>
            <w:r w:rsidR="00962491" w:rsidRPr="001F037A">
              <w:rPr>
                <w:b/>
              </w:rPr>
              <w:t>Y</w:t>
            </w:r>
            <w:r w:rsidRPr="001F037A">
              <w:rPr>
                <w:b/>
              </w:rPr>
              <w:t>es/</w:t>
            </w:r>
            <w:r w:rsidR="00962491" w:rsidRPr="001F037A">
              <w:rPr>
                <w:b/>
              </w:rPr>
              <w:t>N</w:t>
            </w:r>
            <w:r w:rsidRPr="001F037A">
              <w:rPr>
                <w:b/>
              </w:rPr>
              <w:t>o</w:t>
            </w:r>
          </w:p>
          <w:p w14:paraId="5E62A50A" w14:textId="7DDB3E8E" w:rsidR="006B091F" w:rsidRPr="0088605A" w:rsidRDefault="12496189" w:rsidP="001F037A">
            <w:pPr>
              <w:pStyle w:val="Tabletext"/>
              <w:rPr>
                <w:bCs/>
              </w:rPr>
            </w:pPr>
            <w:r w:rsidRPr="0088605A">
              <w:rPr>
                <w:bCs/>
              </w:rPr>
              <w:t>(</w:t>
            </w:r>
            <w:r w:rsidR="00EB03E3" w:rsidRPr="0088605A">
              <w:rPr>
                <w:bCs/>
              </w:rPr>
              <w:t>Record if standard not applicable.</w:t>
            </w:r>
            <w:r w:rsidRPr="0088605A">
              <w:rPr>
                <w:bCs/>
              </w:rPr>
              <w:t>)</w:t>
            </w:r>
          </w:p>
        </w:tc>
      </w:tr>
      <w:tr w:rsidR="0088605A" w:rsidRPr="00077B16" w14:paraId="68DFAF5C" w14:textId="77777777" w:rsidTr="0060756F">
        <w:trPr>
          <w:cantSplit/>
          <w:trHeight w:val="5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88C" w14:textId="3ED39D9B" w:rsidR="0088605A" w:rsidRPr="00077B16" w:rsidRDefault="0088605A" w:rsidP="001F037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Diagnosis and baseline investigations</w:t>
            </w:r>
          </w:p>
        </w:tc>
      </w:tr>
      <w:tr w:rsidR="00F90502" w:rsidRPr="00077B16" w14:paraId="281C1E04" w14:textId="77777777" w:rsidTr="002B7D22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7B8" w14:textId="719399C0" w:rsidR="00590DC3" w:rsidRPr="0088605A" w:rsidRDefault="0088605A" w:rsidP="0088605A">
            <w:r w:rsidRPr="0088605A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 </w:t>
            </w:r>
            <w:r>
              <w:t>All diagnoses and treatment plans were discussed at a fully constituted haemato-oncology MDT meeting.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673BE0" w14:textId="77777777" w:rsidR="00590DC3" w:rsidRPr="002B7D22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F01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24D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51E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F90502" w:rsidRPr="00077B16" w14:paraId="3CB1828E" w14:textId="77777777" w:rsidTr="002B7D22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92E" w14:textId="481AB7EA" w:rsidR="00590DC3" w:rsidRPr="00077B16" w:rsidRDefault="00CE60E8" w:rsidP="001F037A">
            <w:pPr>
              <w:pStyle w:val="Tabletext"/>
              <w:rPr>
                <w:b/>
                <w:bCs/>
              </w:rPr>
            </w:pPr>
            <w:r w:rsidRPr="00CB4FFA">
              <w:rPr>
                <w:rFonts w:cs="Arial"/>
                <w:b/>
                <w:bCs/>
                <w:color w:val="000000"/>
              </w:rPr>
              <w:t>2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CB4FFA">
              <w:rPr>
                <w:rFonts w:cs="Arial"/>
                <w:color w:val="000000"/>
              </w:rPr>
              <w:t xml:space="preserve"> </w:t>
            </w:r>
            <w:r w:rsidRPr="00DF0B84">
              <w:rPr>
                <w:rFonts w:cs="Arial"/>
                <w:color w:val="000000"/>
              </w:rPr>
              <w:t>All patients had tests for</w:t>
            </w:r>
            <w:r w:rsidRPr="00CB4FFA">
              <w:rPr>
                <w:rFonts w:cs="Arial"/>
                <w:color w:val="000000"/>
              </w:rPr>
              <w:t xml:space="preserve"> serum LDH and full serology for HBV, HCV and HIV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DC5FBA" w14:textId="77777777" w:rsidR="00590DC3" w:rsidRPr="002B7D22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944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678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198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F90502" w:rsidRPr="00077B16" w14:paraId="0251DA41" w14:textId="77777777" w:rsidTr="002B7D22">
        <w:trPr>
          <w:cantSplit/>
          <w:trHeight w:val="7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F5E" w14:textId="4EEB5D0B" w:rsidR="00590DC3" w:rsidRPr="00077B16" w:rsidRDefault="00291BD0" w:rsidP="001F037A">
            <w:pPr>
              <w:pStyle w:val="Tabletext"/>
            </w:pPr>
            <w:r w:rsidRPr="00CB4FFA">
              <w:rPr>
                <w:rFonts w:cs="Arial"/>
                <w:b/>
                <w:bCs/>
                <w:color w:val="000000"/>
              </w:rPr>
              <w:t>3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CB4FFA">
              <w:rPr>
                <w:rFonts w:cs="Arial"/>
                <w:color w:val="000000"/>
              </w:rPr>
              <w:t xml:space="preserve"> Baseline PET-CT </w:t>
            </w:r>
            <w:r>
              <w:rPr>
                <w:rFonts w:cs="Arial"/>
                <w:color w:val="000000"/>
              </w:rPr>
              <w:t>was</w:t>
            </w:r>
            <w:r w:rsidRPr="00CB4FFA">
              <w:rPr>
                <w:rFonts w:cs="Arial"/>
                <w:color w:val="000000"/>
              </w:rPr>
              <w:t xml:space="preserve"> performed for all patients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7F36B17" w14:textId="77777777" w:rsidR="00590DC3" w:rsidRPr="002B7D22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610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C78C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77D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F90502" w:rsidRPr="00077B16" w14:paraId="7CE77257" w14:textId="77777777" w:rsidTr="002B7D22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C0C" w14:textId="08786C8E" w:rsidR="00590DC3" w:rsidRPr="00077B16" w:rsidRDefault="000C3DBB" w:rsidP="001F037A">
            <w:pPr>
              <w:pStyle w:val="Tabletext"/>
            </w:pPr>
            <w:r w:rsidRPr="00CB4FFA">
              <w:rPr>
                <w:rFonts w:cs="Arial"/>
                <w:b/>
                <w:bCs/>
                <w:color w:val="000000"/>
              </w:rPr>
              <w:t>4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22164F">
              <w:rPr>
                <w:rFonts w:cs="Arial"/>
                <w:color w:val="000000"/>
              </w:rPr>
              <w:t xml:space="preserve">Baseline ECG </w:t>
            </w:r>
            <w:r>
              <w:rPr>
                <w:rFonts w:cs="Arial"/>
                <w:color w:val="000000"/>
              </w:rPr>
              <w:t>was</w:t>
            </w:r>
            <w:r w:rsidRPr="0022164F">
              <w:rPr>
                <w:rFonts w:cs="Arial"/>
                <w:color w:val="000000"/>
              </w:rPr>
              <w:t xml:space="preserve"> performed on all patients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C254730" w14:textId="77777777" w:rsidR="00590DC3" w:rsidRPr="002B7D22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A37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84A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D39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F90502" w:rsidRPr="00077B16" w14:paraId="339C338B" w14:textId="77777777" w:rsidTr="002B7D22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5D41" w14:textId="68DBC920" w:rsidR="00590DC3" w:rsidRPr="00077B16" w:rsidRDefault="000D0462" w:rsidP="001F037A">
            <w:pPr>
              <w:pStyle w:val="Tabletext"/>
            </w:pPr>
            <w:r>
              <w:rPr>
                <w:rFonts w:cs="Arial"/>
                <w:b/>
                <w:bCs/>
                <w:color w:val="000000"/>
              </w:rPr>
              <w:t xml:space="preserve">5 </w:t>
            </w:r>
            <w:r>
              <w:rPr>
                <w:rFonts w:cs="Arial"/>
                <w:color w:val="000000"/>
              </w:rPr>
              <w:t xml:space="preserve"> </w:t>
            </w:r>
            <w:r w:rsidRPr="0022164F">
              <w:rPr>
                <w:rFonts w:cs="Arial"/>
                <w:color w:val="000000"/>
              </w:rPr>
              <w:t xml:space="preserve">ECOG </w:t>
            </w:r>
            <w:r>
              <w:rPr>
                <w:rFonts w:cs="Arial"/>
                <w:color w:val="000000"/>
              </w:rPr>
              <w:t>PS</w:t>
            </w:r>
            <w:r w:rsidRPr="0022164F">
              <w:rPr>
                <w:rFonts w:cs="Arial"/>
                <w:color w:val="000000"/>
              </w:rPr>
              <w:t>, IPI and CNS-IPI scores were recorded for all patients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C7864F3" w14:textId="77777777" w:rsidR="00590DC3" w:rsidRPr="002B7D22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8C0E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D64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A09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F90502" w:rsidRPr="00077B16" w14:paraId="5E79D2C8" w14:textId="77777777" w:rsidTr="002B7D22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1EC9" w14:textId="34EBED2A" w:rsidR="00590DC3" w:rsidRPr="00077B16" w:rsidRDefault="00D34357" w:rsidP="001F037A">
            <w:pPr>
              <w:pStyle w:val="Tabletext"/>
            </w:pPr>
            <w:r>
              <w:rPr>
                <w:rFonts w:cs="Arial"/>
                <w:b/>
                <w:bCs/>
                <w:color w:val="000000"/>
              </w:rPr>
              <w:t xml:space="preserve">6 </w:t>
            </w:r>
            <w:r>
              <w:rPr>
                <w:rFonts w:cs="Arial"/>
                <w:color w:val="000000"/>
              </w:rPr>
              <w:t xml:space="preserve"> </w:t>
            </w:r>
            <w:r w:rsidRPr="0022164F">
              <w:rPr>
                <w:rFonts w:cs="Arial"/>
                <w:color w:val="000000"/>
              </w:rPr>
              <w:t>FISH for MYC rearrangements was performed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13BCD7" w14:textId="77777777" w:rsidR="00590DC3" w:rsidRPr="002B7D22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6A4F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293F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39D8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534255" w:rsidRPr="00077B16" w14:paraId="4055AAB7" w14:textId="77777777" w:rsidTr="00EC27AB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9E90" w14:textId="61EB9619" w:rsidR="00534255" w:rsidRPr="002B7D22" w:rsidRDefault="00534255" w:rsidP="00534255">
            <w:pPr>
              <w:pStyle w:val="Tablecolumnheading"/>
              <w:rPr>
                <w:bCs/>
              </w:rPr>
            </w:pPr>
            <w:r w:rsidRPr="002B7D22">
              <w:t>Supportive care</w:t>
            </w:r>
          </w:p>
        </w:tc>
      </w:tr>
      <w:tr w:rsidR="00F90502" w:rsidRPr="00077B16" w14:paraId="1D045AA4" w14:textId="77777777" w:rsidTr="002B7D22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55C" w14:textId="4388A492" w:rsidR="00590DC3" w:rsidRPr="00077B16" w:rsidRDefault="000A1A4D" w:rsidP="001F037A">
            <w:pPr>
              <w:pStyle w:val="Tabletext"/>
            </w:pPr>
            <w:r w:rsidRPr="00DE54EA">
              <w:rPr>
                <w:rFonts w:cs="Arial"/>
                <w:b/>
                <w:bCs/>
                <w:color w:val="000000"/>
              </w:rPr>
              <w:lastRenderedPageBreak/>
              <w:t>1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7265DA">
              <w:rPr>
                <w:rFonts w:cs="Arial"/>
                <w:color w:val="000000"/>
              </w:rPr>
              <w:t>Primary G-CSF prophylaxis was offered to all patients receiving chemo</w:t>
            </w:r>
            <w:r>
              <w:rPr>
                <w:rFonts w:cs="Arial"/>
                <w:color w:val="000000"/>
              </w:rPr>
              <w:t>-</w:t>
            </w:r>
            <w:r w:rsidRPr="007265DA">
              <w:rPr>
                <w:rFonts w:cs="Arial"/>
                <w:color w:val="000000"/>
              </w:rPr>
              <w:t>immunotherapy with curative intent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D72CF6" w14:textId="77777777" w:rsidR="00590DC3" w:rsidRPr="002B7D22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83C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87C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79DA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0A1A4D" w:rsidRPr="00077B16" w14:paraId="4420D969" w14:textId="77777777" w:rsidTr="00EC27AB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098A" w14:textId="58D5FC51" w:rsidR="000A1A4D" w:rsidRPr="002B7D22" w:rsidRDefault="00FF048A" w:rsidP="00FF048A">
            <w:pPr>
              <w:pStyle w:val="Tablecolumnheading"/>
              <w:rPr>
                <w:bCs/>
              </w:rPr>
            </w:pPr>
            <w:r w:rsidRPr="002B7D22">
              <w:t>Stage I and II disease</w:t>
            </w:r>
          </w:p>
        </w:tc>
      </w:tr>
      <w:tr w:rsidR="00F90502" w:rsidRPr="00077B16" w14:paraId="3262F634" w14:textId="77777777" w:rsidTr="002B7D22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68A9" w14:textId="321DF079" w:rsidR="00590DC3" w:rsidRPr="00077B16" w:rsidRDefault="004D65A0" w:rsidP="001F037A">
            <w:pPr>
              <w:pStyle w:val="Tabletext"/>
            </w:pPr>
            <w:r w:rsidRPr="00FF73DF">
              <w:rPr>
                <w:rFonts w:cs="Arial"/>
                <w:b/>
                <w:bCs/>
                <w:color w:val="000000"/>
              </w:rPr>
              <w:t>1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DE54EA">
              <w:rPr>
                <w:rFonts w:cs="Arial"/>
                <w:color w:val="000000"/>
              </w:rPr>
              <w:t>Four cycles of R-CHOP</w:t>
            </w:r>
            <w:r>
              <w:rPr>
                <w:rFonts w:cs="Arial"/>
                <w:color w:val="000000"/>
              </w:rPr>
              <w:t xml:space="preserve"> p</w:t>
            </w:r>
            <w:r w:rsidRPr="00DE54EA">
              <w:rPr>
                <w:rFonts w:cs="Arial"/>
                <w:color w:val="000000"/>
              </w:rPr>
              <w:t>lus two additional infusions of rituximab were offered to patients 18–60 years with stage I/II, aaIPI 0, without bulky disease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58FB3A" w14:textId="77777777" w:rsidR="00590DC3" w:rsidRPr="002B7D22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C620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7C3D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5FF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4D65A0" w:rsidRPr="00077B16" w14:paraId="5375EB38" w14:textId="77777777" w:rsidTr="00EC27AB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C742" w14:textId="0FC48ABF" w:rsidR="004D65A0" w:rsidRPr="002B7D22" w:rsidRDefault="004D65A0" w:rsidP="007957AB">
            <w:pPr>
              <w:pStyle w:val="Tablecolumnheading"/>
            </w:pPr>
            <w:r w:rsidRPr="002B7D22">
              <w:t xml:space="preserve">Primary extra-nodal LBCL </w:t>
            </w:r>
            <w:r w:rsidR="007957AB" w:rsidRPr="002B7D22">
              <w:t xml:space="preserve">– </w:t>
            </w:r>
            <w:r w:rsidR="00F44595" w:rsidRPr="002B7D22">
              <w:t>t</w:t>
            </w:r>
            <w:r w:rsidR="007957AB" w:rsidRPr="002B7D22">
              <w:t>esticular</w:t>
            </w:r>
          </w:p>
        </w:tc>
      </w:tr>
      <w:tr w:rsidR="00F90502" w:rsidRPr="00077B16" w14:paraId="77ACD80C" w14:textId="77777777" w:rsidTr="002B7D22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EAE" w14:textId="5FD51F7B" w:rsidR="00590DC3" w:rsidRPr="00077B16" w:rsidRDefault="00F672A7" w:rsidP="001F037A">
            <w:pPr>
              <w:pStyle w:val="Tabletext"/>
            </w:pPr>
            <w:r>
              <w:rPr>
                <w:rFonts w:cs="Arial"/>
                <w:b/>
                <w:bCs/>
                <w:color w:val="000000"/>
              </w:rPr>
              <w:t xml:space="preserve">1 </w:t>
            </w:r>
            <w:r>
              <w:rPr>
                <w:rFonts w:cs="Arial"/>
                <w:color w:val="000000"/>
              </w:rPr>
              <w:t xml:space="preserve"> </w:t>
            </w:r>
            <w:r w:rsidRPr="00BD7FA9">
              <w:rPr>
                <w:rFonts w:cs="Arial"/>
                <w:color w:val="000000"/>
              </w:rPr>
              <w:t>CNS prophylaxis was offered, guided by the current BSH GPP</w:t>
            </w:r>
            <w:r w:rsidR="00A12403">
              <w:rPr>
                <w:rFonts w:cs="Arial"/>
                <w:color w:val="000000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44D632A" w14:textId="77777777" w:rsidR="00590DC3" w:rsidRPr="002B7D22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EFBE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0951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323C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F90502" w:rsidRPr="00077B16" w14:paraId="5B5FE2CF" w14:textId="77777777" w:rsidTr="002B7D22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43AA" w14:textId="0E259B0A" w:rsidR="00590DC3" w:rsidRPr="00077B16" w:rsidRDefault="00A12403" w:rsidP="001F037A">
            <w:pPr>
              <w:pStyle w:val="Tabletext"/>
            </w:pPr>
            <w:r>
              <w:rPr>
                <w:rFonts w:cs="Arial"/>
                <w:b/>
                <w:bCs/>
                <w:color w:val="000000"/>
              </w:rPr>
              <w:t>2</w:t>
            </w:r>
            <w:r>
              <w:rPr>
                <w:rFonts w:cs="Arial"/>
                <w:color w:val="000000"/>
              </w:rPr>
              <w:t xml:space="preserve">  </w:t>
            </w:r>
            <w:r w:rsidRPr="00BD7FA9">
              <w:rPr>
                <w:rFonts w:cs="Arial"/>
                <w:color w:val="000000"/>
              </w:rPr>
              <w:t>Contralateral testicular radiotherapy was offered following completion of systemic therapy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D59B9C" w14:textId="77777777" w:rsidR="00590DC3" w:rsidRPr="002B7D22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9B1F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B9DF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7009" w14:textId="77777777" w:rsidR="00590DC3" w:rsidRPr="00077B16" w:rsidRDefault="00590DC3" w:rsidP="001F037A">
            <w:pPr>
              <w:pStyle w:val="Tabletext"/>
              <w:rPr>
                <w:b/>
                <w:bCs/>
              </w:rPr>
            </w:pPr>
          </w:p>
        </w:tc>
      </w:tr>
      <w:tr w:rsidR="00A12403" w:rsidRPr="00077B16" w14:paraId="678F4254" w14:textId="77777777" w:rsidTr="00EC27AB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E3CF" w14:textId="0ED0D9F7" w:rsidR="00A12403" w:rsidRPr="002B7D22" w:rsidRDefault="00F44595" w:rsidP="00F44595">
            <w:pPr>
              <w:pStyle w:val="Tablecolumnheading"/>
              <w:rPr>
                <w:bCs/>
              </w:rPr>
            </w:pPr>
            <w:r w:rsidRPr="002B7D22">
              <w:t>Primary extra-nodal LBCL – gastric</w:t>
            </w:r>
          </w:p>
        </w:tc>
      </w:tr>
      <w:tr w:rsidR="00A12403" w:rsidRPr="00077B16" w14:paraId="3C767174" w14:textId="77777777" w:rsidTr="002B7D22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C701" w14:textId="0613DDDF" w:rsidR="00A12403" w:rsidRDefault="0029565D" w:rsidP="001F037A">
            <w:pPr>
              <w:pStyle w:val="Tabletext"/>
              <w:rPr>
                <w:rFonts w:cs="Arial"/>
                <w:b/>
                <w:bCs/>
                <w:color w:val="000000"/>
              </w:rPr>
            </w:pPr>
            <w:r w:rsidRPr="00DE54EA">
              <w:rPr>
                <w:rFonts w:cs="Arial"/>
                <w:b/>
                <w:bCs/>
                <w:color w:val="000000"/>
              </w:rPr>
              <w:t>1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BD7FA9">
              <w:rPr>
                <w:rFonts w:cs="Arial"/>
                <w:color w:val="000000"/>
              </w:rPr>
              <w:t xml:space="preserve">Where </w:t>
            </w:r>
            <w:r w:rsidRPr="00BD7FA9">
              <w:rPr>
                <w:rFonts w:cs="Arial"/>
                <w:i/>
                <w:iCs/>
                <w:color w:val="000000"/>
              </w:rPr>
              <w:t>Helicobacter pylori</w:t>
            </w:r>
            <w:r w:rsidRPr="00BD7FA9">
              <w:rPr>
                <w:rFonts w:cs="Arial"/>
                <w:color w:val="000000"/>
              </w:rPr>
              <w:t xml:space="preserve"> was detected, eradication therapy was offered as per current guidance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665A31" w14:textId="77777777" w:rsidR="00A12403" w:rsidRPr="002B7D22" w:rsidRDefault="00A1240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D50" w14:textId="77777777" w:rsidR="00A12403" w:rsidRPr="00077B16" w:rsidRDefault="00A1240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42C9" w14:textId="77777777" w:rsidR="00A12403" w:rsidRPr="00077B16" w:rsidRDefault="00A12403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939" w14:textId="77777777" w:rsidR="00A12403" w:rsidRPr="00077B16" w:rsidRDefault="00A12403" w:rsidP="001F037A">
            <w:pPr>
              <w:pStyle w:val="Tabletext"/>
              <w:rPr>
                <w:b/>
                <w:bCs/>
              </w:rPr>
            </w:pPr>
          </w:p>
        </w:tc>
      </w:tr>
      <w:tr w:rsidR="0029565D" w:rsidRPr="00077B16" w14:paraId="080194C1" w14:textId="77777777" w:rsidTr="002F5F55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E713" w14:textId="17A716A4" w:rsidR="0029565D" w:rsidRPr="002B7D22" w:rsidRDefault="00EC27AB" w:rsidP="00EC27AB">
            <w:pPr>
              <w:pStyle w:val="Tablecolumnheading"/>
              <w:rPr>
                <w:bCs/>
              </w:rPr>
            </w:pPr>
            <w:r w:rsidRPr="002B7D22">
              <w:t>Advanced stage disease</w:t>
            </w:r>
          </w:p>
        </w:tc>
      </w:tr>
      <w:tr w:rsidR="0029565D" w:rsidRPr="00077B16" w14:paraId="46C857DD" w14:textId="77777777" w:rsidTr="002B7D22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CB4" w14:textId="15C94D6A" w:rsidR="0029565D" w:rsidRDefault="001B6041" w:rsidP="001F037A">
            <w:pPr>
              <w:pStyle w:val="Tabletext"/>
              <w:rPr>
                <w:rFonts w:cs="Arial"/>
                <w:b/>
                <w:bCs/>
                <w:color w:val="000000"/>
              </w:rPr>
            </w:pPr>
            <w:r w:rsidRPr="00D75DF6">
              <w:rPr>
                <w:rFonts w:cs="Arial"/>
                <w:b/>
                <w:bCs/>
                <w:color w:val="000000"/>
              </w:rPr>
              <w:t>1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BD7FA9">
              <w:rPr>
                <w:rFonts w:cs="Arial"/>
                <w:color w:val="000000"/>
              </w:rPr>
              <w:t xml:space="preserve">Six cycles of RCHP-polatuzumab vedotin was offered as first-line treatment for patients with </w:t>
            </w:r>
            <w:r w:rsidRPr="008F0C00">
              <w:rPr>
                <w:rFonts w:cs="Arial"/>
                <w:i/>
                <w:iCs/>
                <w:color w:val="000000"/>
              </w:rPr>
              <w:t>de novo</w:t>
            </w:r>
            <w:r w:rsidRPr="00BD7FA9">
              <w:rPr>
                <w:rFonts w:cs="Arial"/>
                <w:color w:val="000000"/>
              </w:rPr>
              <w:t xml:space="preserve"> LBCL, fit for full-dose chemotherapy, with an ECOG PS ≤2 and an IPI score of 2–5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8D038A" w14:textId="77777777" w:rsidR="0029565D" w:rsidRPr="002B7D22" w:rsidRDefault="0029565D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790F" w14:textId="77777777" w:rsidR="0029565D" w:rsidRPr="00077B16" w:rsidRDefault="0029565D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0992" w14:textId="77777777" w:rsidR="0029565D" w:rsidRPr="00077B16" w:rsidRDefault="0029565D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6B4" w14:textId="77777777" w:rsidR="0029565D" w:rsidRPr="00077B16" w:rsidRDefault="0029565D" w:rsidP="001F037A">
            <w:pPr>
              <w:pStyle w:val="Tabletext"/>
              <w:rPr>
                <w:b/>
                <w:bCs/>
              </w:rPr>
            </w:pPr>
          </w:p>
        </w:tc>
      </w:tr>
      <w:tr w:rsidR="0029565D" w:rsidRPr="00077B16" w14:paraId="586A9D38" w14:textId="77777777" w:rsidTr="002B7D22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3B3" w14:textId="1DD084A3" w:rsidR="0029565D" w:rsidRDefault="00B734E6" w:rsidP="001F037A">
            <w:pPr>
              <w:pStyle w:val="Tabletext"/>
              <w:rPr>
                <w:rFonts w:cs="Arial"/>
                <w:b/>
                <w:bCs/>
                <w:color w:val="000000"/>
              </w:rPr>
            </w:pPr>
            <w:r w:rsidRPr="00D75DF6">
              <w:rPr>
                <w:rFonts w:cs="Arial"/>
                <w:b/>
                <w:bCs/>
                <w:color w:val="000000"/>
              </w:rPr>
              <w:t>2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BD7FA9">
              <w:rPr>
                <w:rFonts w:cs="Arial"/>
                <w:color w:val="000000"/>
              </w:rPr>
              <w:t>Six cycles of R-CHOP were offered as first-line treatment for patients with stage III/IV disease and an IPI score of 1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39ECDB" w14:textId="77777777" w:rsidR="0029565D" w:rsidRPr="002B7D22" w:rsidRDefault="0029565D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7DCE" w14:textId="77777777" w:rsidR="0029565D" w:rsidRPr="00077B16" w:rsidRDefault="0029565D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FF0E" w14:textId="77777777" w:rsidR="0029565D" w:rsidRPr="00077B16" w:rsidRDefault="0029565D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B744" w14:textId="77777777" w:rsidR="0029565D" w:rsidRPr="00077B16" w:rsidRDefault="0029565D" w:rsidP="001F037A">
            <w:pPr>
              <w:pStyle w:val="Tabletext"/>
              <w:rPr>
                <w:b/>
                <w:bCs/>
              </w:rPr>
            </w:pPr>
          </w:p>
        </w:tc>
      </w:tr>
      <w:tr w:rsidR="00A20A47" w:rsidRPr="00077B16" w14:paraId="62F7320E" w14:textId="77777777" w:rsidTr="00024494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C95" w14:textId="7B15DE4D" w:rsidR="00A20A47" w:rsidRPr="002B7D22" w:rsidRDefault="00A20A47" w:rsidP="00A20A47">
            <w:pPr>
              <w:pStyle w:val="Tablecolumnheading"/>
              <w:rPr>
                <w:bCs/>
              </w:rPr>
            </w:pPr>
            <w:r w:rsidRPr="002B7D22">
              <w:t>Older patients and those with co-morbid conditions</w:t>
            </w:r>
          </w:p>
        </w:tc>
      </w:tr>
      <w:tr w:rsidR="0029565D" w:rsidRPr="00077B16" w14:paraId="554D7133" w14:textId="77777777" w:rsidTr="002B7D22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99EA" w14:textId="09CC79F2" w:rsidR="0029565D" w:rsidRDefault="00635434" w:rsidP="001F037A">
            <w:pPr>
              <w:pStyle w:val="Tabletex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lastRenderedPageBreak/>
              <w:t xml:space="preserve">1 </w:t>
            </w:r>
            <w:r>
              <w:rPr>
                <w:rFonts w:cs="Arial"/>
                <w:color w:val="000000"/>
              </w:rPr>
              <w:t xml:space="preserve"> </w:t>
            </w:r>
            <w:r w:rsidRPr="00230D9A">
              <w:rPr>
                <w:rFonts w:cs="Arial"/>
                <w:color w:val="000000"/>
              </w:rPr>
              <w:t>R-miniCHOP (50% dosing of cyclophosphamide [400 mg/m2], doxorubicin [25 mg/m2] and vincristine [1 mg]) was offered to patients ≥ 80 years</w:t>
            </w:r>
            <w:r>
              <w:t xml:space="preserve"> </w:t>
            </w:r>
            <w:r w:rsidRPr="002D2665">
              <w:rPr>
                <w:rFonts w:cs="Arial"/>
                <w:color w:val="000000"/>
              </w:rPr>
              <w:t>and suitable for anthracycline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C3368EC" w14:textId="77777777" w:rsidR="0029565D" w:rsidRPr="002B7D22" w:rsidRDefault="0029565D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EC95" w14:textId="77777777" w:rsidR="0029565D" w:rsidRPr="00077B16" w:rsidRDefault="0029565D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CD1" w14:textId="77777777" w:rsidR="0029565D" w:rsidRPr="00077B16" w:rsidRDefault="0029565D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7312" w14:textId="77777777" w:rsidR="0029565D" w:rsidRPr="00077B16" w:rsidRDefault="0029565D" w:rsidP="001F037A">
            <w:pPr>
              <w:pStyle w:val="Tabletext"/>
              <w:rPr>
                <w:b/>
                <w:bCs/>
              </w:rPr>
            </w:pPr>
          </w:p>
        </w:tc>
      </w:tr>
      <w:tr w:rsidR="0029565D" w:rsidRPr="00077B16" w14:paraId="25712AF5" w14:textId="77777777" w:rsidTr="002B7D22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66FE" w14:textId="6ACF426D" w:rsidR="0029565D" w:rsidRDefault="0076339A" w:rsidP="001F037A">
            <w:pPr>
              <w:pStyle w:val="Tabletex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 </w:t>
            </w:r>
            <w:r>
              <w:rPr>
                <w:rFonts w:cs="Arial"/>
                <w:color w:val="000000"/>
              </w:rPr>
              <w:t xml:space="preserve"> </w:t>
            </w:r>
            <w:r w:rsidRPr="00230D9A">
              <w:rPr>
                <w:rFonts w:cs="Arial"/>
                <w:color w:val="000000"/>
              </w:rPr>
              <w:t>Non-anthracycline-based regimen was offered to patients with cardiac co-morbidities unsuitable for anthracyclines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042DB1F" w14:textId="77777777" w:rsidR="0029565D" w:rsidRPr="002B7D22" w:rsidRDefault="0029565D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EB41" w14:textId="77777777" w:rsidR="0029565D" w:rsidRPr="00077B16" w:rsidRDefault="0029565D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FB40" w14:textId="77777777" w:rsidR="0029565D" w:rsidRPr="00077B16" w:rsidRDefault="0029565D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8989" w14:textId="77777777" w:rsidR="0029565D" w:rsidRPr="00077B16" w:rsidRDefault="0029565D" w:rsidP="001F037A">
            <w:pPr>
              <w:pStyle w:val="Tabletext"/>
              <w:rPr>
                <w:b/>
                <w:bCs/>
              </w:rPr>
            </w:pPr>
          </w:p>
        </w:tc>
      </w:tr>
      <w:tr w:rsidR="0076339A" w:rsidRPr="00077B16" w14:paraId="4664CF11" w14:textId="77777777" w:rsidTr="00821458">
        <w:trPr>
          <w:cantSplit/>
          <w:trHeight w:val="128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B857" w14:textId="71225CE8" w:rsidR="0076339A" w:rsidRPr="002B7D22" w:rsidRDefault="0076339A" w:rsidP="001F037A">
            <w:pPr>
              <w:pStyle w:val="Tabletext"/>
              <w:rPr>
                <w:b/>
                <w:bCs/>
              </w:rPr>
            </w:pPr>
            <w:r w:rsidRPr="002B7D22">
              <w:rPr>
                <w:b/>
                <w:bCs/>
              </w:rPr>
              <w:t>End-of-treatment response assessment and follow-up</w:t>
            </w:r>
          </w:p>
        </w:tc>
      </w:tr>
      <w:tr w:rsidR="0029565D" w:rsidRPr="00077B16" w14:paraId="1BF4066A" w14:textId="77777777" w:rsidTr="002B7D22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ADBD" w14:textId="4F4FEED7" w:rsidR="0029565D" w:rsidRDefault="009A7A6E" w:rsidP="001F037A">
            <w:pPr>
              <w:pStyle w:val="Tabletext"/>
              <w:rPr>
                <w:rFonts w:cs="Arial"/>
                <w:b/>
                <w:bCs/>
                <w:color w:val="000000"/>
              </w:rPr>
            </w:pPr>
            <w:r w:rsidRPr="00D75DF6">
              <w:rPr>
                <w:rFonts w:cs="Arial"/>
                <w:b/>
                <w:bCs/>
                <w:color w:val="000000"/>
              </w:rPr>
              <w:t>1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230D9A">
              <w:rPr>
                <w:rFonts w:cs="Arial"/>
                <w:color w:val="000000"/>
              </w:rPr>
              <w:t>For patients without a CMR on iPET2 (or for patients who had not undergone an iPET2), an end-of-treatment PET-CT scan was performed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B8CF7F1" w14:textId="77777777" w:rsidR="0029565D" w:rsidRPr="002B7D22" w:rsidRDefault="0029565D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8895" w14:textId="77777777" w:rsidR="0029565D" w:rsidRPr="00077B16" w:rsidRDefault="0029565D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802A" w14:textId="77777777" w:rsidR="0029565D" w:rsidRPr="00077B16" w:rsidRDefault="0029565D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A266" w14:textId="77777777" w:rsidR="0029565D" w:rsidRPr="00077B16" w:rsidRDefault="0029565D" w:rsidP="001F037A">
            <w:pPr>
              <w:pStyle w:val="Tabletext"/>
              <w:rPr>
                <w:b/>
                <w:bCs/>
              </w:rPr>
            </w:pPr>
          </w:p>
        </w:tc>
      </w:tr>
      <w:tr w:rsidR="0076339A" w:rsidRPr="00077B16" w14:paraId="687DB179" w14:textId="77777777" w:rsidTr="002B7D22">
        <w:trPr>
          <w:cantSplit/>
          <w:trHeight w:val="12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E56C" w14:textId="5D665AF2" w:rsidR="0076339A" w:rsidRDefault="002B7D22" w:rsidP="001F037A">
            <w:pPr>
              <w:pStyle w:val="Tabletex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2  </w:t>
            </w:r>
            <w:r w:rsidRPr="00E6096E">
              <w:rPr>
                <w:rFonts w:cs="Arial"/>
                <w:color w:val="000000"/>
              </w:rPr>
              <w:t>For patients with residual foci of fluorodeoxyglucose (FDG)-uptake, biopsy of FDG-avid lesions should be undertaken or repeat PET-CT should be offered at an 8- to 12-week interval, where tissue biopsy is not possible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CA2259E" w14:textId="77777777" w:rsidR="0076339A" w:rsidRPr="002B7D22" w:rsidRDefault="0076339A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FFE2" w14:textId="77777777" w:rsidR="0076339A" w:rsidRPr="00077B16" w:rsidRDefault="0076339A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40A4" w14:textId="77777777" w:rsidR="0076339A" w:rsidRPr="00077B16" w:rsidRDefault="0076339A" w:rsidP="001F037A">
            <w:pPr>
              <w:pStyle w:val="Tabletext"/>
              <w:rPr>
                <w:b/>
                <w:bCs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AE9D" w14:textId="77777777" w:rsidR="0076339A" w:rsidRPr="00077B16" w:rsidRDefault="0076339A" w:rsidP="001F037A">
            <w:pPr>
              <w:pStyle w:val="Tabletext"/>
              <w:rPr>
                <w:b/>
                <w:bCs/>
              </w:rPr>
            </w:pPr>
          </w:p>
        </w:tc>
      </w:tr>
    </w:tbl>
    <w:p w14:paraId="088CFB5D" w14:textId="77777777" w:rsidR="004C6370" w:rsidRPr="00077B16" w:rsidRDefault="004C6370" w:rsidP="002B7D22">
      <w:pPr>
        <w:spacing w:before="0" w:after="0" w:line="240" w:lineRule="auto"/>
        <w:rPr>
          <w:rFonts w:cs="Arial"/>
        </w:rPr>
      </w:pPr>
    </w:p>
    <w:p w14:paraId="2393E24C" w14:textId="7B140E22" w:rsidR="002806C7" w:rsidRPr="001C6C65" w:rsidRDefault="00E73FD3">
      <w:pPr>
        <w:rPr>
          <w:rFonts w:cs="Arial"/>
          <w:b/>
          <w:bCs/>
        </w:rPr>
      </w:pPr>
      <w:r w:rsidRPr="001C6C65">
        <w:rPr>
          <w:rFonts w:cs="Arial"/>
          <w:b/>
          <w:bCs/>
        </w:rPr>
        <w:t>List of investigations</w:t>
      </w:r>
      <w:r w:rsidR="00AA472C">
        <w:rPr>
          <w:rFonts w:cs="Arial"/>
          <w:b/>
          <w:bCs/>
        </w:rPr>
        <w:t xml:space="preserve"> </w:t>
      </w:r>
      <w:r w:rsidR="00AA472C" w:rsidRPr="00AA472C">
        <w:rPr>
          <w:color w:val="FF0000"/>
        </w:rPr>
        <w:t>(To be completed by the author)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2"/>
        <w:gridCol w:w="2047"/>
        <w:gridCol w:w="1949"/>
      </w:tblGrid>
      <w:tr w:rsidR="001C6C65" w14:paraId="7F686327" w14:textId="77777777" w:rsidTr="00E6512B">
        <w:tc>
          <w:tcPr>
            <w:tcW w:w="2925" w:type="pct"/>
          </w:tcPr>
          <w:p w14:paraId="46E6B850" w14:textId="77777777" w:rsidR="001C6C65" w:rsidRDefault="001C6C65" w:rsidP="00E6512B">
            <w:pPr>
              <w:pStyle w:val="Rowheading"/>
            </w:pPr>
          </w:p>
        </w:tc>
        <w:tc>
          <w:tcPr>
            <w:tcW w:w="1063" w:type="pct"/>
          </w:tcPr>
          <w:p w14:paraId="1C399D25" w14:textId="77777777" w:rsidR="001C6C65" w:rsidRPr="001C6C65" w:rsidRDefault="001C6C65" w:rsidP="001C6C65">
            <w:pPr>
              <w:pStyle w:val="Tablecolumnheading"/>
            </w:pPr>
            <w:r w:rsidRPr="001C6C65">
              <w:t>Yes</w:t>
            </w:r>
          </w:p>
        </w:tc>
        <w:tc>
          <w:tcPr>
            <w:tcW w:w="1012" w:type="pct"/>
          </w:tcPr>
          <w:p w14:paraId="694E643D" w14:textId="77777777" w:rsidR="001C6C65" w:rsidRPr="001C6C65" w:rsidRDefault="001C6C65" w:rsidP="001C6C65">
            <w:pPr>
              <w:pStyle w:val="Tablecolumnheading"/>
            </w:pPr>
            <w:r w:rsidRPr="001C6C65">
              <w:t>No</w:t>
            </w:r>
          </w:p>
        </w:tc>
      </w:tr>
      <w:tr w:rsidR="001C6C65" w14:paraId="39A45217" w14:textId="77777777" w:rsidTr="00E6512B">
        <w:tc>
          <w:tcPr>
            <w:tcW w:w="2925" w:type="pct"/>
          </w:tcPr>
          <w:p w14:paraId="62B0DE0E" w14:textId="77D57525" w:rsidR="001C6C65" w:rsidRPr="00E30831" w:rsidRDefault="001C6C65" w:rsidP="001C6C65">
            <w:pPr>
              <w:pStyle w:val="Tabletext"/>
              <w:tabs>
                <w:tab w:val="left" w:pos="1640"/>
              </w:tabs>
            </w:pPr>
            <w:r>
              <w:tab/>
            </w:r>
          </w:p>
        </w:tc>
        <w:tc>
          <w:tcPr>
            <w:tcW w:w="1063" w:type="pct"/>
          </w:tcPr>
          <w:p w14:paraId="3643A7E9" w14:textId="77777777" w:rsidR="001C6C65" w:rsidRDefault="001C6C65" w:rsidP="00E6512B">
            <w:pPr>
              <w:pStyle w:val="Tabletext"/>
            </w:pPr>
          </w:p>
        </w:tc>
        <w:tc>
          <w:tcPr>
            <w:tcW w:w="1012" w:type="pct"/>
          </w:tcPr>
          <w:p w14:paraId="5C8D73E7" w14:textId="77777777" w:rsidR="001C6C65" w:rsidRDefault="001C6C65" w:rsidP="00E6512B">
            <w:pPr>
              <w:pStyle w:val="Tabletext"/>
            </w:pPr>
          </w:p>
        </w:tc>
      </w:tr>
      <w:tr w:rsidR="001C6C65" w14:paraId="5C078627" w14:textId="77777777" w:rsidTr="00E6512B">
        <w:tc>
          <w:tcPr>
            <w:tcW w:w="2925" w:type="pct"/>
            <w:tcBorders>
              <w:bottom w:val="single" w:sz="4" w:space="0" w:color="auto"/>
            </w:tcBorders>
          </w:tcPr>
          <w:p w14:paraId="6FEE08C8" w14:textId="77777777" w:rsidR="001C6C65" w:rsidRPr="00E30831" w:rsidRDefault="001C6C65" w:rsidP="00E6512B">
            <w:pPr>
              <w:pStyle w:val="Tabletext"/>
            </w:pPr>
          </w:p>
        </w:tc>
        <w:tc>
          <w:tcPr>
            <w:tcW w:w="1063" w:type="pct"/>
          </w:tcPr>
          <w:p w14:paraId="19D3C4FD" w14:textId="77777777" w:rsidR="001C6C65" w:rsidRDefault="001C6C65" w:rsidP="00E6512B">
            <w:pPr>
              <w:pStyle w:val="Tabletext"/>
            </w:pPr>
          </w:p>
        </w:tc>
        <w:tc>
          <w:tcPr>
            <w:tcW w:w="1012" w:type="pct"/>
          </w:tcPr>
          <w:p w14:paraId="6C38D9C7" w14:textId="77777777" w:rsidR="001C6C65" w:rsidRDefault="001C6C65" w:rsidP="00E6512B">
            <w:pPr>
              <w:pStyle w:val="Tabletext"/>
            </w:pPr>
          </w:p>
        </w:tc>
      </w:tr>
      <w:tr w:rsidR="001C6C65" w14:paraId="6F5A6795" w14:textId="77777777" w:rsidTr="00E6512B">
        <w:tc>
          <w:tcPr>
            <w:tcW w:w="2925" w:type="pct"/>
          </w:tcPr>
          <w:p w14:paraId="27B25E83" w14:textId="77777777" w:rsidR="001C6C65" w:rsidRDefault="001C6C65" w:rsidP="00E6512B">
            <w:pPr>
              <w:pStyle w:val="Tabletext"/>
            </w:pPr>
          </w:p>
        </w:tc>
        <w:tc>
          <w:tcPr>
            <w:tcW w:w="1063" w:type="pct"/>
          </w:tcPr>
          <w:p w14:paraId="00E080FD" w14:textId="77777777" w:rsidR="001C6C65" w:rsidRDefault="001C6C65" w:rsidP="00E6512B">
            <w:pPr>
              <w:pStyle w:val="Tabletext"/>
            </w:pPr>
          </w:p>
        </w:tc>
        <w:tc>
          <w:tcPr>
            <w:tcW w:w="1012" w:type="pct"/>
          </w:tcPr>
          <w:p w14:paraId="3FC122A2" w14:textId="77777777" w:rsidR="001C6C65" w:rsidRDefault="001C6C65" w:rsidP="00E6512B">
            <w:pPr>
              <w:pStyle w:val="Tabletext"/>
            </w:pPr>
          </w:p>
        </w:tc>
      </w:tr>
    </w:tbl>
    <w:p w14:paraId="120813D8" w14:textId="4868749D" w:rsidR="000D3334" w:rsidRDefault="000D3334">
      <w:pPr>
        <w:rPr>
          <w:rFonts w:cs="Arial"/>
        </w:rPr>
      </w:pPr>
    </w:p>
    <w:p w14:paraId="43986506" w14:textId="57E3EF96" w:rsidR="00E73FD3" w:rsidRPr="00077B16" w:rsidRDefault="000D3334" w:rsidP="000D3334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1F037A" w:rsidRDefault="006B091F" w:rsidP="001F037A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bCs/>
                <w:szCs w:val="24"/>
              </w:rPr>
            </w:pPr>
            <w:r w:rsidRPr="009349D7">
              <w:lastRenderedPageBreak/>
              <w:br w:type="page"/>
            </w:r>
            <w:r w:rsidR="00FC2016" w:rsidRPr="001F037A">
              <w:rPr>
                <w:b/>
                <w:bCs/>
              </w:rPr>
              <w:t>Audit action plan</w:t>
            </w:r>
            <w:r w:rsidR="00FC2016" w:rsidRPr="001F037A">
              <w:rPr>
                <w:rStyle w:val="UnresolvedMention"/>
                <w:rFonts w:cs="Arial"/>
                <w:b/>
                <w:bCs/>
                <w:szCs w:val="24"/>
              </w:rPr>
              <w:t xml:space="preserve"> </w:t>
            </w:r>
          </w:p>
          <w:p w14:paraId="3758BA60" w14:textId="4BAF8D08" w:rsidR="00971292" w:rsidRPr="009349D7" w:rsidRDefault="00971292" w:rsidP="001F037A">
            <w:pPr>
              <w:pStyle w:val="Tabletext"/>
              <w:spacing w:line="360" w:lineRule="auto"/>
            </w:pPr>
            <w:r>
              <w:t xml:space="preserve">An audit of compliance with the </w:t>
            </w:r>
            <w:r w:rsidR="00927AC4">
              <w:t xml:space="preserve">BSH </w:t>
            </w:r>
            <w:r>
              <w:t>guideline for the management of newly diagnosed large B-cell lymphoma</w:t>
            </w:r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53C36" w14:textId="77777777" w:rsidR="00930859" w:rsidRDefault="00930859">
      <w:r>
        <w:separator/>
      </w:r>
    </w:p>
  </w:endnote>
  <w:endnote w:type="continuationSeparator" w:id="0">
    <w:p w14:paraId="0AA8FBF0" w14:textId="77777777" w:rsidR="00930859" w:rsidRDefault="009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libri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1A753" w14:textId="456AB2FA" w:rsidR="00590DC3" w:rsidRPr="00D366F9" w:rsidRDefault="00DD172C" w:rsidP="00927185">
    <w:pPr>
      <w:tabs>
        <w:tab w:val="left" w:pos="1134"/>
        <w:tab w:val="left" w:pos="4820"/>
        <w:tab w:val="left" w:pos="6804"/>
        <w:tab w:val="right" w:pos="9639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</w:t>
    </w:r>
    <w:r w:rsidR="00473B28">
      <w:rPr>
        <w:rFonts w:cs="Arial"/>
        <w:sz w:val="20"/>
        <w:szCs w:val="20"/>
      </w:rPr>
      <w:tab/>
    </w:r>
    <w:r w:rsidR="00361E9E">
      <w:rPr>
        <w:rFonts w:cs="Arial"/>
        <w:sz w:val="20"/>
        <w:szCs w:val="20"/>
      </w:rPr>
      <w:t>0409</w:t>
    </w:r>
    <w:r w:rsidR="001C6C65">
      <w:rPr>
        <w:rFonts w:cs="Arial"/>
        <w:sz w:val="20"/>
        <w:szCs w:val="20"/>
      </w:rPr>
      <w:t>24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27185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27185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93569" w14:textId="3DF39A13" w:rsidR="00590DC3" w:rsidRPr="00D366F9" w:rsidRDefault="00C1018E" w:rsidP="00927185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62336" behindDoc="1" locked="0" layoutInCell="1" allowOverlap="1" wp14:anchorId="1FF97333" wp14:editId="3241E018">
          <wp:simplePos x="0" y="0"/>
          <wp:positionH relativeFrom="margin">
            <wp:posOffset>4142105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4144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</w:t>
    </w:r>
    <w:r w:rsidR="00C5391D">
      <w:rPr>
        <w:rFonts w:cs="Arial"/>
        <w:sz w:val="20"/>
        <w:szCs w:val="20"/>
      </w:rPr>
      <w:tab/>
    </w:r>
    <w:r w:rsidR="00361E9E">
      <w:rPr>
        <w:rFonts w:cs="Arial"/>
        <w:sz w:val="20"/>
        <w:szCs w:val="20"/>
      </w:rPr>
      <w:t>0409</w:t>
    </w:r>
    <w:r w:rsidR="00C83578">
      <w:rPr>
        <w:rFonts w:cs="Arial"/>
        <w:sz w:val="20"/>
        <w:szCs w:val="20"/>
      </w:rPr>
      <w:t>24</w:t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E8624" w14:textId="77777777" w:rsidR="00930859" w:rsidRDefault="00930859">
      <w:r>
        <w:separator/>
      </w:r>
    </w:p>
  </w:footnote>
  <w:footnote w:type="continuationSeparator" w:id="0">
    <w:p w14:paraId="31C8A52D" w14:textId="77777777" w:rsidR="00930859" w:rsidRDefault="009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130FE" w14:textId="46C7B4EE" w:rsidR="00590DC3" w:rsidRPr="00927185" w:rsidRDefault="00866100" w:rsidP="00927185">
    <w:pPr>
      <w:pStyle w:val="Header"/>
      <w:tabs>
        <w:tab w:val="clear" w:pos="8306"/>
        <w:tab w:val="right" w:pos="9639"/>
      </w:tabs>
      <w:rPr>
        <w:rFonts w:cs="Arial"/>
        <w:noProof/>
        <w:sz w:val="28"/>
        <w:szCs w:val="28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AE27E89" wp14:editId="748A6E87">
          <wp:simplePos x="0" y="0"/>
          <wp:positionH relativeFrom="margin">
            <wp:posOffset>3846830</wp:posOffset>
          </wp:positionH>
          <wp:positionV relativeFrom="paragraph">
            <wp:posOffset>149860</wp:posOffset>
          </wp:positionV>
          <wp:extent cx="2258060" cy="662940"/>
          <wp:effectExtent l="0" t="0" r="8890" b="3810"/>
          <wp:wrapNone/>
          <wp:docPr id="239285923" name="Picture 1" descr="BSH-Logo-Straplin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BSH-Logo-Straplin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B6C5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4236B9"/>
    <w:multiLevelType w:val="hybridMultilevel"/>
    <w:tmpl w:val="D57ED7BE"/>
    <w:lvl w:ilvl="0" w:tplc="1A046280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400D3"/>
    <w:multiLevelType w:val="hybridMultilevel"/>
    <w:tmpl w:val="87183C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53B8D"/>
    <w:multiLevelType w:val="hybridMultilevel"/>
    <w:tmpl w:val="BA9439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778267">
    <w:abstractNumId w:val="1"/>
  </w:num>
  <w:num w:numId="2" w16cid:durableId="797454649">
    <w:abstractNumId w:val="0"/>
  </w:num>
  <w:num w:numId="3" w16cid:durableId="1815246822">
    <w:abstractNumId w:val="1"/>
    <w:lvlOverride w:ilvl="0">
      <w:startOverride w:val="1"/>
    </w:lvlOverride>
  </w:num>
  <w:num w:numId="4" w16cid:durableId="89591573">
    <w:abstractNumId w:val="1"/>
    <w:lvlOverride w:ilvl="0">
      <w:startOverride w:val="1"/>
    </w:lvlOverride>
  </w:num>
  <w:num w:numId="5" w16cid:durableId="1930578115">
    <w:abstractNumId w:val="1"/>
    <w:lvlOverride w:ilvl="0">
      <w:startOverride w:val="1"/>
    </w:lvlOverride>
  </w:num>
  <w:num w:numId="6" w16cid:durableId="2052682015">
    <w:abstractNumId w:val="1"/>
    <w:lvlOverride w:ilvl="0">
      <w:startOverride w:val="1"/>
    </w:lvlOverride>
  </w:num>
  <w:num w:numId="7" w16cid:durableId="1894341738">
    <w:abstractNumId w:val="1"/>
    <w:lvlOverride w:ilvl="0">
      <w:startOverride w:val="1"/>
    </w:lvlOverride>
  </w:num>
  <w:num w:numId="8" w16cid:durableId="203376121">
    <w:abstractNumId w:val="1"/>
    <w:lvlOverride w:ilvl="0">
      <w:startOverride w:val="1"/>
    </w:lvlOverride>
  </w:num>
  <w:num w:numId="9" w16cid:durableId="1030061905">
    <w:abstractNumId w:val="3"/>
  </w:num>
  <w:num w:numId="10" w16cid:durableId="482892510">
    <w:abstractNumId w:val="2"/>
  </w:num>
  <w:num w:numId="11" w16cid:durableId="684012788">
    <w:abstractNumId w:val="1"/>
    <w:lvlOverride w:ilvl="0">
      <w:startOverride w:val="1"/>
    </w:lvlOverride>
  </w:num>
  <w:num w:numId="12" w16cid:durableId="621620416">
    <w:abstractNumId w:val="1"/>
    <w:lvlOverride w:ilvl="0">
      <w:startOverride w:val="1"/>
    </w:lvlOverride>
  </w:num>
  <w:num w:numId="13" w16cid:durableId="1716000030">
    <w:abstractNumId w:val="1"/>
    <w:lvlOverride w:ilvl="0">
      <w:startOverride w:val="1"/>
    </w:lvlOverride>
  </w:num>
  <w:num w:numId="14" w16cid:durableId="22757272">
    <w:abstractNumId w:val="1"/>
    <w:lvlOverride w:ilvl="0">
      <w:startOverride w:val="1"/>
    </w:lvlOverride>
  </w:num>
  <w:num w:numId="15" w16cid:durableId="1171722160">
    <w:abstractNumId w:val="1"/>
    <w:lvlOverride w:ilvl="0">
      <w:startOverride w:val="1"/>
    </w:lvlOverride>
  </w:num>
  <w:num w:numId="16" w16cid:durableId="328756948">
    <w:abstractNumId w:val="1"/>
    <w:lvlOverride w:ilvl="0">
      <w:startOverride w:val="1"/>
    </w:lvlOverride>
  </w:num>
  <w:num w:numId="17" w16cid:durableId="675570393">
    <w:abstractNumId w:val="1"/>
    <w:lvlOverride w:ilvl="0">
      <w:startOverride w:val="1"/>
    </w:lvlOverride>
  </w:num>
  <w:num w:numId="18" w16cid:durableId="879628718">
    <w:abstractNumId w:val="1"/>
    <w:lvlOverride w:ilvl="0">
      <w:startOverride w:val="1"/>
    </w:lvlOverride>
  </w:num>
  <w:num w:numId="19" w16cid:durableId="961618722">
    <w:abstractNumId w:val="1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029BC"/>
    <w:rsid w:val="00011675"/>
    <w:rsid w:val="00021F9B"/>
    <w:rsid w:val="0002418C"/>
    <w:rsid w:val="000254DC"/>
    <w:rsid w:val="00032439"/>
    <w:rsid w:val="00034639"/>
    <w:rsid w:val="000369E8"/>
    <w:rsid w:val="00036AD1"/>
    <w:rsid w:val="00045804"/>
    <w:rsid w:val="000508FA"/>
    <w:rsid w:val="00052C8C"/>
    <w:rsid w:val="000572A2"/>
    <w:rsid w:val="00074049"/>
    <w:rsid w:val="00077B16"/>
    <w:rsid w:val="0008701C"/>
    <w:rsid w:val="00090A23"/>
    <w:rsid w:val="000A1A4D"/>
    <w:rsid w:val="000A1FFE"/>
    <w:rsid w:val="000A3D6F"/>
    <w:rsid w:val="000B1E92"/>
    <w:rsid w:val="000C3DBB"/>
    <w:rsid w:val="000C48A8"/>
    <w:rsid w:val="000D0462"/>
    <w:rsid w:val="000D3334"/>
    <w:rsid w:val="000D7C6A"/>
    <w:rsid w:val="000E1997"/>
    <w:rsid w:val="000E2004"/>
    <w:rsid w:val="000E42F5"/>
    <w:rsid w:val="000F4D77"/>
    <w:rsid w:val="00100F3A"/>
    <w:rsid w:val="00125130"/>
    <w:rsid w:val="001449E1"/>
    <w:rsid w:val="0014563E"/>
    <w:rsid w:val="00151871"/>
    <w:rsid w:val="001657DC"/>
    <w:rsid w:val="00167FA9"/>
    <w:rsid w:val="001745FB"/>
    <w:rsid w:val="00176346"/>
    <w:rsid w:val="00194E27"/>
    <w:rsid w:val="001A6DBC"/>
    <w:rsid w:val="001B070D"/>
    <w:rsid w:val="001B6041"/>
    <w:rsid w:val="001C6C65"/>
    <w:rsid w:val="001D5301"/>
    <w:rsid w:val="001F037A"/>
    <w:rsid w:val="002020DA"/>
    <w:rsid w:val="0020390E"/>
    <w:rsid w:val="002045D7"/>
    <w:rsid w:val="002068CF"/>
    <w:rsid w:val="002119F3"/>
    <w:rsid w:val="00214938"/>
    <w:rsid w:val="002244BA"/>
    <w:rsid w:val="00230059"/>
    <w:rsid w:val="00234879"/>
    <w:rsid w:val="002440EE"/>
    <w:rsid w:val="00253E1A"/>
    <w:rsid w:val="0025747C"/>
    <w:rsid w:val="002806C7"/>
    <w:rsid w:val="002810CB"/>
    <w:rsid w:val="002851D7"/>
    <w:rsid w:val="00291BD0"/>
    <w:rsid w:val="0029565D"/>
    <w:rsid w:val="0029610F"/>
    <w:rsid w:val="002A0090"/>
    <w:rsid w:val="002A293B"/>
    <w:rsid w:val="002A5E66"/>
    <w:rsid w:val="002B6537"/>
    <w:rsid w:val="002B7D22"/>
    <w:rsid w:val="002E144A"/>
    <w:rsid w:val="002F5E08"/>
    <w:rsid w:val="00300CFE"/>
    <w:rsid w:val="003201A7"/>
    <w:rsid w:val="00327320"/>
    <w:rsid w:val="00333833"/>
    <w:rsid w:val="00340CAD"/>
    <w:rsid w:val="00361E9E"/>
    <w:rsid w:val="00363010"/>
    <w:rsid w:val="003720AB"/>
    <w:rsid w:val="00373A0F"/>
    <w:rsid w:val="0037430B"/>
    <w:rsid w:val="00383EC0"/>
    <w:rsid w:val="00390ACD"/>
    <w:rsid w:val="00395582"/>
    <w:rsid w:val="003A2580"/>
    <w:rsid w:val="003A33FE"/>
    <w:rsid w:val="003B186F"/>
    <w:rsid w:val="003B4471"/>
    <w:rsid w:val="003B514D"/>
    <w:rsid w:val="003B725E"/>
    <w:rsid w:val="003D3B96"/>
    <w:rsid w:val="003D71CB"/>
    <w:rsid w:val="003E16DD"/>
    <w:rsid w:val="003E4192"/>
    <w:rsid w:val="004039FC"/>
    <w:rsid w:val="00406950"/>
    <w:rsid w:val="004118BE"/>
    <w:rsid w:val="00426A8C"/>
    <w:rsid w:val="00436FD4"/>
    <w:rsid w:val="00451D14"/>
    <w:rsid w:val="00467285"/>
    <w:rsid w:val="004700AB"/>
    <w:rsid w:val="00470FB1"/>
    <w:rsid w:val="00473B28"/>
    <w:rsid w:val="004756F3"/>
    <w:rsid w:val="004761C4"/>
    <w:rsid w:val="00480D5F"/>
    <w:rsid w:val="00483DD7"/>
    <w:rsid w:val="004865A5"/>
    <w:rsid w:val="004916F8"/>
    <w:rsid w:val="004A572A"/>
    <w:rsid w:val="004B18E0"/>
    <w:rsid w:val="004B1BCB"/>
    <w:rsid w:val="004B3539"/>
    <w:rsid w:val="004B498E"/>
    <w:rsid w:val="004C0DCF"/>
    <w:rsid w:val="004C6370"/>
    <w:rsid w:val="004D65A0"/>
    <w:rsid w:val="004E0E32"/>
    <w:rsid w:val="004F2C2A"/>
    <w:rsid w:val="004F312A"/>
    <w:rsid w:val="004F5A98"/>
    <w:rsid w:val="00515AE8"/>
    <w:rsid w:val="00516629"/>
    <w:rsid w:val="0051663B"/>
    <w:rsid w:val="00530048"/>
    <w:rsid w:val="00534255"/>
    <w:rsid w:val="00541988"/>
    <w:rsid w:val="00545347"/>
    <w:rsid w:val="00554FCF"/>
    <w:rsid w:val="00561723"/>
    <w:rsid w:val="00590DC3"/>
    <w:rsid w:val="005A2C0F"/>
    <w:rsid w:val="005A2D91"/>
    <w:rsid w:val="005A2DDE"/>
    <w:rsid w:val="005C7333"/>
    <w:rsid w:val="005D3173"/>
    <w:rsid w:val="005E1060"/>
    <w:rsid w:val="005E3C1B"/>
    <w:rsid w:val="005F0C38"/>
    <w:rsid w:val="00603ECE"/>
    <w:rsid w:val="00606B9C"/>
    <w:rsid w:val="006147E1"/>
    <w:rsid w:val="00624056"/>
    <w:rsid w:val="006319A1"/>
    <w:rsid w:val="00632EB6"/>
    <w:rsid w:val="00635434"/>
    <w:rsid w:val="006462FD"/>
    <w:rsid w:val="00674C80"/>
    <w:rsid w:val="0068302D"/>
    <w:rsid w:val="00683FD5"/>
    <w:rsid w:val="00690DA4"/>
    <w:rsid w:val="00690DDF"/>
    <w:rsid w:val="0069652F"/>
    <w:rsid w:val="006A564E"/>
    <w:rsid w:val="006B091F"/>
    <w:rsid w:val="006B136F"/>
    <w:rsid w:val="006B32B1"/>
    <w:rsid w:val="006D2DC3"/>
    <w:rsid w:val="006D40E3"/>
    <w:rsid w:val="006D49DC"/>
    <w:rsid w:val="006D4E64"/>
    <w:rsid w:val="006E2AD5"/>
    <w:rsid w:val="007040FA"/>
    <w:rsid w:val="007114AC"/>
    <w:rsid w:val="0071269F"/>
    <w:rsid w:val="00745A21"/>
    <w:rsid w:val="00753ECC"/>
    <w:rsid w:val="007631F7"/>
    <w:rsid w:val="0076339A"/>
    <w:rsid w:val="007637F5"/>
    <w:rsid w:val="00765F35"/>
    <w:rsid w:val="00767BCF"/>
    <w:rsid w:val="00781C28"/>
    <w:rsid w:val="00791B4A"/>
    <w:rsid w:val="007957AB"/>
    <w:rsid w:val="007960F1"/>
    <w:rsid w:val="007A10E7"/>
    <w:rsid w:val="007B14FD"/>
    <w:rsid w:val="007B2B29"/>
    <w:rsid w:val="007B6CAB"/>
    <w:rsid w:val="007C6E8F"/>
    <w:rsid w:val="007C7BAE"/>
    <w:rsid w:val="007D6BF2"/>
    <w:rsid w:val="007F21DF"/>
    <w:rsid w:val="008015D7"/>
    <w:rsid w:val="00813B20"/>
    <w:rsid w:val="00816FEB"/>
    <w:rsid w:val="00817A03"/>
    <w:rsid w:val="008317B0"/>
    <w:rsid w:val="00835EBE"/>
    <w:rsid w:val="00855773"/>
    <w:rsid w:val="00860AF9"/>
    <w:rsid w:val="008628C3"/>
    <w:rsid w:val="00866100"/>
    <w:rsid w:val="00871165"/>
    <w:rsid w:val="00875EC4"/>
    <w:rsid w:val="00876760"/>
    <w:rsid w:val="00880553"/>
    <w:rsid w:val="00884B47"/>
    <w:rsid w:val="0088605A"/>
    <w:rsid w:val="0089524E"/>
    <w:rsid w:val="008A1A2E"/>
    <w:rsid w:val="008D69A3"/>
    <w:rsid w:val="008E542F"/>
    <w:rsid w:val="008E5933"/>
    <w:rsid w:val="008F0985"/>
    <w:rsid w:val="00903337"/>
    <w:rsid w:val="0091017D"/>
    <w:rsid w:val="009247DB"/>
    <w:rsid w:val="00924F13"/>
    <w:rsid w:val="00927185"/>
    <w:rsid w:val="00927AC4"/>
    <w:rsid w:val="00930859"/>
    <w:rsid w:val="009309DD"/>
    <w:rsid w:val="009349D7"/>
    <w:rsid w:val="00940136"/>
    <w:rsid w:val="00944286"/>
    <w:rsid w:val="00952DFE"/>
    <w:rsid w:val="00962491"/>
    <w:rsid w:val="00971292"/>
    <w:rsid w:val="009929C5"/>
    <w:rsid w:val="009A7A6E"/>
    <w:rsid w:val="009A7F6F"/>
    <w:rsid w:val="009C1F74"/>
    <w:rsid w:val="009C38CD"/>
    <w:rsid w:val="009C4066"/>
    <w:rsid w:val="009C59A6"/>
    <w:rsid w:val="009C7EFC"/>
    <w:rsid w:val="009D2622"/>
    <w:rsid w:val="009D5967"/>
    <w:rsid w:val="009D5DB4"/>
    <w:rsid w:val="009E39DF"/>
    <w:rsid w:val="009E4202"/>
    <w:rsid w:val="009E44FD"/>
    <w:rsid w:val="009E61F5"/>
    <w:rsid w:val="009F0368"/>
    <w:rsid w:val="009F45A0"/>
    <w:rsid w:val="00A12403"/>
    <w:rsid w:val="00A20A47"/>
    <w:rsid w:val="00A219B0"/>
    <w:rsid w:val="00A251B6"/>
    <w:rsid w:val="00A3205C"/>
    <w:rsid w:val="00A35011"/>
    <w:rsid w:val="00A40F8D"/>
    <w:rsid w:val="00A4630E"/>
    <w:rsid w:val="00A6672C"/>
    <w:rsid w:val="00A91137"/>
    <w:rsid w:val="00A9492C"/>
    <w:rsid w:val="00AA472C"/>
    <w:rsid w:val="00AB2EA4"/>
    <w:rsid w:val="00AC3558"/>
    <w:rsid w:val="00AC3B74"/>
    <w:rsid w:val="00AC5534"/>
    <w:rsid w:val="00AD28E3"/>
    <w:rsid w:val="00AE34E0"/>
    <w:rsid w:val="00AF0156"/>
    <w:rsid w:val="00B10E5A"/>
    <w:rsid w:val="00B1219C"/>
    <w:rsid w:val="00B13FDB"/>
    <w:rsid w:val="00B24EE4"/>
    <w:rsid w:val="00B409B5"/>
    <w:rsid w:val="00B40DA0"/>
    <w:rsid w:val="00B420AD"/>
    <w:rsid w:val="00B45883"/>
    <w:rsid w:val="00B51FAC"/>
    <w:rsid w:val="00B734E6"/>
    <w:rsid w:val="00B764BA"/>
    <w:rsid w:val="00B9330D"/>
    <w:rsid w:val="00B93EB4"/>
    <w:rsid w:val="00BB175C"/>
    <w:rsid w:val="00BC07AD"/>
    <w:rsid w:val="00BC3490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149EB"/>
    <w:rsid w:val="00C2441F"/>
    <w:rsid w:val="00C5391D"/>
    <w:rsid w:val="00C55A88"/>
    <w:rsid w:val="00C83578"/>
    <w:rsid w:val="00C863A4"/>
    <w:rsid w:val="00C87E39"/>
    <w:rsid w:val="00C970B9"/>
    <w:rsid w:val="00CA3D4B"/>
    <w:rsid w:val="00CB28BE"/>
    <w:rsid w:val="00CB3A48"/>
    <w:rsid w:val="00CC0B92"/>
    <w:rsid w:val="00CC60DB"/>
    <w:rsid w:val="00CE60E8"/>
    <w:rsid w:val="00D054AA"/>
    <w:rsid w:val="00D2267A"/>
    <w:rsid w:val="00D25ED8"/>
    <w:rsid w:val="00D34357"/>
    <w:rsid w:val="00D366F9"/>
    <w:rsid w:val="00D445BA"/>
    <w:rsid w:val="00D46868"/>
    <w:rsid w:val="00D6143F"/>
    <w:rsid w:val="00D718AF"/>
    <w:rsid w:val="00D75250"/>
    <w:rsid w:val="00D81762"/>
    <w:rsid w:val="00D8550C"/>
    <w:rsid w:val="00D97233"/>
    <w:rsid w:val="00DB24D1"/>
    <w:rsid w:val="00DB6A72"/>
    <w:rsid w:val="00DC14AC"/>
    <w:rsid w:val="00DC30A2"/>
    <w:rsid w:val="00DD172C"/>
    <w:rsid w:val="00DE77B0"/>
    <w:rsid w:val="00DF0CEB"/>
    <w:rsid w:val="00DF4D00"/>
    <w:rsid w:val="00E030A1"/>
    <w:rsid w:val="00E13CF5"/>
    <w:rsid w:val="00E21070"/>
    <w:rsid w:val="00E3625C"/>
    <w:rsid w:val="00E53AD8"/>
    <w:rsid w:val="00E56306"/>
    <w:rsid w:val="00E57653"/>
    <w:rsid w:val="00E7343E"/>
    <w:rsid w:val="00E73FD3"/>
    <w:rsid w:val="00E914AF"/>
    <w:rsid w:val="00E943DB"/>
    <w:rsid w:val="00EA77C0"/>
    <w:rsid w:val="00EB03E3"/>
    <w:rsid w:val="00EB13C8"/>
    <w:rsid w:val="00EB334F"/>
    <w:rsid w:val="00EB5E7F"/>
    <w:rsid w:val="00EC27AB"/>
    <w:rsid w:val="00EC78D4"/>
    <w:rsid w:val="00ED4617"/>
    <w:rsid w:val="00ED6856"/>
    <w:rsid w:val="00ED7D35"/>
    <w:rsid w:val="00EE42BE"/>
    <w:rsid w:val="00EF6FB6"/>
    <w:rsid w:val="00F10036"/>
    <w:rsid w:val="00F138DB"/>
    <w:rsid w:val="00F245C0"/>
    <w:rsid w:val="00F37C31"/>
    <w:rsid w:val="00F403E4"/>
    <w:rsid w:val="00F43B1C"/>
    <w:rsid w:val="00F44595"/>
    <w:rsid w:val="00F510FB"/>
    <w:rsid w:val="00F5545F"/>
    <w:rsid w:val="00F672A7"/>
    <w:rsid w:val="00F8696D"/>
    <w:rsid w:val="00F90502"/>
    <w:rsid w:val="00F910E7"/>
    <w:rsid w:val="00FA63DC"/>
    <w:rsid w:val="00FA6967"/>
    <w:rsid w:val="00FC2016"/>
    <w:rsid w:val="00FD1148"/>
    <w:rsid w:val="00FD3839"/>
    <w:rsid w:val="00FE7213"/>
    <w:rsid w:val="00FF048A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uiPriority w:val="1"/>
    <w:qFormat/>
    <w:rsid w:val="00952DFE"/>
    <w:pPr>
      <w:ind w:left="425" w:hanging="425"/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1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876760"/>
    <w:pPr>
      <w:numPr>
        <w:numId w:val="2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2" ma:contentTypeDescription="Create a new document." ma:contentTypeScope="" ma:versionID="f20d801adf5f96ba6bd600f25e00b029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f77985608a30f73e981601e517e7dbea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C1655F-C16A-40A5-8656-B0D72D453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49F464-91B5-4640-8604-589C3727768D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cbb744a-7f82-41b7-a756-bec761ac2a38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94</TotalTime>
  <Pages>12</Pages>
  <Words>1428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Reece Carfrae</cp:lastModifiedBy>
  <cp:revision>113</cp:revision>
  <cp:lastPrinted>2011-10-27T15:55:00Z</cp:lastPrinted>
  <dcterms:created xsi:type="dcterms:W3CDTF">2024-08-29T13:43:00Z</dcterms:created>
  <dcterms:modified xsi:type="dcterms:W3CDTF">2024-09-10T09:29:00Z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