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AA83" w14:textId="77777777" w:rsidR="000E7702" w:rsidRPr="009E0EBD" w:rsidRDefault="00D52154" w:rsidP="009E0EBD">
      <w:pPr>
        <w:pStyle w:val="Heading1"/>
        <w:spacing w:after="0" w:line="240" w:lineRule="auto"/>
        <w:ind w:left="1985" w:right="221" w:hanging="1985"/>
      </w:pPr>
      <w:r w:rsidRPr="009E0EBD">
        <w:t xml:space="preserve">Appendix A </w:t>
      </w:r>
      <w:r w:rsidRPr="009E0EBD">
        <w:tab/>
        <w:t xml:space="preserve">TNM </w:t>
      </w:r>
      <w:r w:rsidR="000010B6">
        <w:t xml:space="preserve">classification </w:t>
      </w:r>
      <w:r w:rsidRPr="009E0EBD">
        <w:t xml:space="preserve">of penile and distal urethral tumours </w:t>
      </w:r>
      <w:r w:rsidR="001E05B1">
        <w:br/>
      </w:r>
      <w:r w:rsidR="009E0EBD" w:rsidRPr="009E0EBD">
        <w:t>(UICC TNM 8</w:t>
      </w:r>
      <w:r w:rsidRPr="009E0EBD">
        <w:t xml:space="preserve">) </w:t>
      </w:r>
    </w:p>
    <w:p w14:paraId="1BA04D51" w14:textId="77777777" w:rsidR="009E0EBD" w:rsidRPr="009E0EBD" w:rsidRDefault="009E0EBD" w:rsidP="009E0EBD"/>
    <w:p w14:paraId="6FC2DB37" w14:textId="77777777" w:rsidR="009E0EBD" w:rsidRPr="009E0EBD" w:rsidRDefault="009E0EBD" w:rsidP="009E0EBD"/>
    <w:p w14:paraId="2160AF10" w14:textId="77777777" w:rsidR="000E7702" w:rsidRPr="009E0EBD" w:rsidRDefault="003E1065" w:rsidP="009E0EBD">
      <w:pPr>
        <w:spacing w:after="0" w:line="259" w:lineRule="auto"/>
        <w:ind w:left="0" w:firstLine="0"/>
        <w:rPr>
          <w:rFonts w:eastAsia="Calibri"/>
        </w:rPr>
      </w:pPr>
      <w:r w:rsidRPr="009E0EBD">
        <w:rPr>
          <w:rFonts w:eastAsia="Calibri"/>
        </w:rPr>
        <w:t xml:space="preserve">This update to Appendix A </w:t>
      </w:r>
      <w:r w:rsidR="009E0EBD" w:rsidRPr="009E0EBD">
        <w:rPr>
          <w:rFonts w:eastAsia="Calibri"/>
        </w:rPr>
        <w:t>provides</w:t>
      </w:r>
      <w:r w:rsidRPr="009E0EBD">
        <w:rPr>
          <w:rFonts w:eastAsia="Calibri"/>
        </w:rPr>
        <w:t xml:space="preserve"> updated information on staging using UICC TNM 8</w:t>
      </w:r>
      <w:r w:rsidR="001E05B1">
        <w:rPr>
          <w:rFonts w:eastAsia="Calibri"/>
        </w:rPr>
        <w:t>,</w:t>
      </w:r>
      <w:r w:rsidRPr="009E0EBD">
        <w:rPr>
          <w:rFonts w:eastAsia="Calibri"/>
        </w:rPr>
        <w:t xml:space="preserve"> which should be used for all tumours diagnosed after </w:t>
      </w:r>
      <w:r w:rsidR="001E05B1">
        <w:rPr>
          <w:rFonts w:eastAsia="Calibri"/>
        </w:rPr>
        <w:t>1 January 2018</w:t>
      </w:r>
      <w:r w:rsidRPr="009E0EBD">
        <w:rPr>
          <w:rFonts w:eastAsia="Calibri"/>
        </w:rPr>
        <w:t>.</w:t>
      </w:r>
    </w:p>
    <w:p w14:paraId="1528C9D0" w14:textId="77777777" w:rsidR="003E1065" w:rsidRPr="009E0EBD" w:rsidRDefault="003E1065" w:rsidP="009E0EBD">
      <w:pPr>
        <w:spacing w:after="0" w:line="259" w:lineRule="auto"/>
        <w:ind w:left="0" w:firstLine="0"/>
      </w:pPr>
    </w:p>
    <w:p w14:paraId="58D2F199" w14:textId="77777777" w:rsidR="000E7702" w:rsidRPr="009E0EBD" w:rsidRDefault="00D52154" w:rsidP="009E0EBD">
      <w:pPr>
        <w:ind w:right="7"/>
      </w:pPr>
      <w:r w:rsidRPr="009E0EBD">
        <w:t xml:space="preserve">In the case of multiple tumours, the tumour with the highest T category should be classified and the multiplicity or number of tumours should be indicated in parentheses, e.g. pT2 (m) or pT2 (5). </w:t>
      </w:r>
    </w:p>
    <w:p w14:paraId="3186942B" w14:textId="77777777" w:rsidR="00EC7424" w:rsidRDefault="00EC7424" w:rsidP="009E0EBD">
      <w:pPr>
        <w:spacing w:after="6" w:line="259" w:lineRule="auto"/>
        <w:ind w:left="0" w:firstLine="0"/>
      </w:pPr>
    </w:p>
    <w:p w14:paraId="2F8B6DE6" w14:textId="3F0083FD" w:rsidR="000E7702" w:rsidRPr="009E0EBD" w:rsidRDefault="00EC7424" w:rsidP="009E0EBD">
      <w:pPr>
        <w:spacing w:after="6" w:line="259" w:lineRule="auto"/>
        <w:ind w:left="0" w:firstLine="0"/>
      </w:pPr>
      <w:r w:rsidRPr="00EC7424">
        <w:t>The new WHO cl</w:t>
      </w:r>
      <w:r>
        <w:t xml:space="preserve">assification uses only grades 1–3 in Squamous Cell Carcinoma. </w:t>
      </w:r>
      <w:r w:rsidRPr="00EC7424">
        <w:t xml:space="preserve">The grade given is that of the highest grade area of tumour seen irrespective of the percentage of tumour.  </w:t>
      </w:r>
      <w:proofErr w:type="spellStart"/>
      <w:r w:rsidRPr="00EC7424">
        <w:t>Sarcomatoid</w:t>
      </w:r>
      <w:proofErr w:type="spellEnd"/>
      <w:r w:rsidRPr="00EC7424">
        <w:t xml:space="preserve"> differentiation should also be reported separately.</w:t>
      </w:r>
    </w:p>
    <w:p w14:paraId="12EEFED4" w14:textId="77777777" w:rsidR="00EC7424" w:rsidRDefault="00EC7424" w:rsidP="009E0EBD">
      <w:pPr>
        <w:spacing w:after="0"/>
        <w:ind w:left="-15" w:right="10" w:firstLine="0"/>
      </w:pPr>
    </w:p>
    <w:p w14:paraId="1303D8F0" w14:textId="77777777" w:rsidR="000E7702" w:rsidRPr="009E0EBD" w:rsidRDefault="00D52154" w:rsidP="009E0EBD">
      <w:pPr>
        <w:spacing w:after="0"/>
        <w:ind w:left="-15" w:right="10" w:firstLine="0"/>
      </w:pPr>
      <w:r w:rsidRPr="009E0EBD">
        <w:t xml:space="preserve">Use of the category TX is to be avoided and the designation T… at least is preferable if full staging is not possible because of the nature of the specimen (e.g. small incision biopsies) or the presence of positive margins. </w:t>
      </w:r>
    </w:p>
    <w:p w14:paraId="15A63480" w14:textId="77777777" w:rsidR="009E0EBD" w:rsidRDefault="009E0EBD" w:rsidP="009E0EBD">
      <w:pPr>
        <w:pStyle w:val="Heading3"/>
        <w:ind w:left="0" w:firstLine="0"/>
        <w:rPr>
          <w:b w:val="0"/>
          <w:sz w:val="22"/>
        </w:rPr>
      </w:pPr>
    </w:p>
    <w:p w14:paraId="08CDF758" w14:textId="1562A471" w:rsidR="00747880" w:rsidRPr="00747880" w:rsidRDefault="00747880" w:rsidP="00747880">
      <w:r w:rsidRPr="00747880">
        <w:t>TNM</w:t>
      </w:r>
      <w:r>
        <w:t xml:space="preserve"> </w:t>
      </w:r>
      <w:r w:rsidRPr="00747880">
        <w:t xml:space="preserve">8 removes the need to </w:t>
      </w:r>
      <w:proofErr w:type="spellStart"/>
      <w:r w:rsidRPr="00747880">
        <w:t>substage</w:t>
      </w:r>
      <w:proofErr w:type="spellEnd"/>
      <w:r w:rsidRPr="00747880">
        <w:t xml:space="preserve"> penile tumours into T2a and T2b as tumours involving th</w:t>
      </w:r>
      <w:r>
        <w:t xml:space="preserve">e Corpus </w:t>
      </w:r>
      <w:proofErr w:type="spellStart"/>
      <w:r>
        <w:t>Cavernosum</w:t>
      </w:r>
      <w:proofErr w:type="spellEnd"/>
      <w:r>
        <w:t xml:space="preserve"> are now T3.</w:t>
      </w:r>
      <w:r w:rsidRPr="00747880">
        <w:t xml:space="preserve"> Urethral involvement is no longer regarded as a defining feature of staging</w:t>
      </w:r>
      <w:r>
        <w:t>.</w:t>
      </w:r>
    </w:p>
    <w:p w14:paraId="2438C6A7" w14:textId="77777777" w:rsidR="009E0EBD" w:rsidRDefault="009E0EBD" w:rsidP="009E0EBD">
      <w:pPr>
        <w:pStyle w:val="Heading3"/>
        <w:ind w:left="0" w:firstLine="0"/>
        <w:rPr>
          <w:b w:val="0"/>
          <w:sz w:val="22"/>
        </w:rPr>
      </w:pPr>
    </w:p>
    <w:p w14:paraId="3129B854" w14:textId="77777777" w:rsidR="000E7702" w:rsidRPr="001E05B1" w:rsidRDefault="00D52154" w:rsidP="009E0EBD">
      <w:pPr>
        <w:pStyle w:val="Heading3"/>
        <w:ind w:left="0" w:firstLine="0"/>
        <w:rPr>
          <w:szCs w:val="24"/>
        </w:rPr>
      </w:pPr>
      <w:r w:rsidRPr="001E05B1">
        <w:rPr>
          <w:szCs w:val="24"/>
        </w:rPr>
        <w:t xml:space="preserve">Tumours of the penis and foreskin </w:t>
      </w:r>
    </w:p>
    <w:p w14:paraId="2891492E" w14:textId="77777777" w:rsidR="000E7702" w:rsidRPr="009E0EBD" w:rsidRDefault="00D52154">
      <w:pPr>
        <w:spacing w:after="0" w:line="259" w:lineRule="auto"/>
        <w:ind w:left="0" w:firstLine="0"/>
        <w:jc w:val="left"/>
      </w:pPr>
      <w:r w:rsidRPr="009E0EBD">
        <w:rPr>
          <w:b/>
        </w:rPr>
        <w:t xml:space="preserve"> </w:t>
      </w:r>
    </w:p>
    <w:p w14:paraId="68B13B4E" w14:textId="77777777" w:rsidR="000E7702" w:rsidRPr="009E0EBD" w:rsidRDefault="00D52154">
      <w:pPr>
        <w:pStyle w:val="Heading4"/>
        <w:ind w:left="-5"/>
      </w:pPr>
      <w:r w:rsidRPr="009E0EBD">
        <w:t xml:space="preserve">Primary tumour (T) </w:t>
      </w:r>
    </w:p>
    <w:p w14:paraId="723D181E" w14:textId="77777777" w:rsidR="000E7702" w:rsidRPr="009E0EBD" w:rsidRDefault="00D52154">
      <w:pPr>
        <w:spacing w:after="0" w:line="259" w:lineRule="auto"/>
        <w:ind w:left="0" w:firstLine="0"/>
        <w:jc w:val="left"/>
      </w:pPr>
      <w:r w:rsidRPr="009E0EBD">
        <w:t xml:space="preserve"> </w:t>
      </w:r>
    </w:p>
    <w:p w14:paraId="2CD32F9C" w14:textId="77777777" w:rsidR="009E0EBD" w:rsidRPr="009E0EBD" w:rsidRDefault="009E0EBD" w:rsidP="009E0EBD">
      <w:pPr>
        <w:spacing w:after="120" w:line="259" w:lineRule="auto"/>
        <w:ind w:left="993" w:hanging="993"/>
        <w:jc w:val="left"/>
      </w:pPr>
      <w:r w:rsidRPr="009E0EBD">
        <w:t>TX</w:t>
      </w:r>
      <w:r w:rsidRPr="009E0EBD">
        <w:rPr>
          <w:b/>
        </w:rPr>
        <w:t xml:space="preserve"> </w:t>
      </w:r>
      <w:r w:rsidRPr="009E0EBD">
        <w:tab/>
        <w:t>Primary tumour cannot be assessed</w:t>
      </w:r>
      <w:r w:rsidRPr="009E0EBD">
        <w:rPr>
          <w:b/>
        </w:rPr>
        <w:t xml:space="preserve"> </w:t>
      </w:r>
    </w:p>
    <w:p w14:paraId="3CD63F20" w14:textId="77777777" w:rsidR="009E0EBD" w:rsidRPr="009E0EBD" w:rsidRDefault="009E0EBD" w:rsidP="009E0EBD">
      <w:pPr>
        <w:spacing w:after="120" w:line="259" w:lineRule="auto"/>
        <w:ind w:left="993" w:hanging="993"/>
        <w:jc w:val="left"/>
      </w:pPr>
      <w:r w:rsidRPr="009E0EBD">
        <w:t>T0</w:t>
      </w:r>
      <w:r w:rsidRPr="009E0EBD">
        <w:rPr>
          <w:b/>
        </w:rPr>
        <w:t xml:space="preserve"> </w:t>
      </w:r>
      <w:r w:rsidRPr="009E0EBD">
        <w:tab/>
        <w:t>No evidence of primary tumour</w:t>
      </w:r>
      <w:r w:rsidRPr="009E0EBD">
        <w:rPr>
          <w:b/>
        </w:rPr>
        <w:t xml:space="preserve"> </w:t>
      </w:r>
    </w:p>
    <w:p w14:paraId="02408519" w14:textId="77777777" w:rsidR="009E0EBD" w:rsidRPr="009E0EBD" w:rsidRDefault="009E0EBD" w:rsidP="009E0EBD">
      <w:pPr>
        <w:spacing w:after="120" w:line="259" w:lineRule="auto"/>
        <w:ind w:left="993" w:hanging="993"/>
        <w:jc w:val="left"/>
      </w:pPr>
      <w:r w:rsidRPr="009E0EBD">
        <w:t>Tis</w:t>
      </w:r>
      <w:r w:rsidRPr="009E0EBD">
        <w:rPr>
          <w:b/>
        </w:rPr>
        <w:t xml:space="preserve"> </w:t>
      </w:r>
      <w:r w:rsidRPr="009E0EBD">
        <w:tab/>
        <w:t>Carcinoma in situ</w:t>
      </w:r>
      <w:r w:rsidRPr="009E0EBD">
        <w:rPr>
          <w:i/>
        </w:rPr>
        <w:t xml:space="preserve"> </w:t>
      </w:r>
      <w:r w:rsidRPr="009E0EBD">
        <w:t>(</w:t>
      </w:r>
      <w:proofErr w:type="spellStart"/>
      <w:r w:rsidRPr="009E0EBD">
        <w:t>PeIN</w:t>
      </w:r>
      <w:proofErr w:type="spellEnd"/>
      <w:r w:rsidRPr="009E0EBD">
        <w:t>)</w:t>
      </w:r>
      <w:r w:rsidRPr="009E0EBD">
        <w:rPr>
          <w:b/>
        </w:rPr>
        <w:t xml:space="preserve"> </w:t>
      </w:r>
    </w:p>
    <w:p w14:paraId="003EB4BA" w14:textId="77777777" w:rsidR="009E0EBD" w:rsidRDefault="009E0EBD" w:rsidP="009E0EBD">
      <w:pPr>
        <w:spacing w:after="120" w:line="259" w:lineRule="auto"/>
        <w:ind w:left="993" w:hanging="993"/>
        <w:jc w:val="left"/>
        <w:rPr>
          <w:b/>
        </w:rPr>
      </w:pPr>
      <w:r w:rsidRPr="009E0EBD">
        <w:t>Ta*</w:t>
      </w:r>
      <w:r w:rsidRPr="009E0EBD">
        <w:rPr>
          <w:b/>
        </w:rPr>
        <w:t xml:space="preserve"> </w:t>
      </w:r>
      <w:r w:rsidRPr="009E0EBD">
        <w:tab/>
      </w:r>
      <w:proofErr w:type="spellStart"/>
      <w:r w:rsidRPr="009E0EBD">
        <w:t>Noninvasive</w:t>
      </w:r>
      <w:proofErr w:type="spellEnd"/>
      <w:r w:rsidRPr="009E0EBD">
        <w:t xml:space="preserve"> localise squamous cell carcinoma*</w:t>
      </w:r>
      <w:r w:rsidRPr="009E0EBD">
        <w:rPr>
          <w:b/>
        </w:rPr>
        <w:t xml:space="preserve"> </w:t>
      </w:r>
    </w:p>
    <w:p w14:paraId="00A7F03C" w14:textId="3D5ABE87" w:rsidR="009E0EBD" w:rsidRPr="009E0EBD" w:rsidRDefault="009E0EBD" w:rsidP="009E0EBD">
      <w:pPr>
        <w:tabs>
          <w:tab w:val="left" w:pos="1985"/>
        </w:tabs>
        <w:spacing w:after="120" w:line="259" w:lineRule="auto"/>
        <w:ind w:left="993" w:hanging="983"/>
        <w:jc w:val="left"/>
      </w:pPr>
      <w:r w:rsidRPr="009E0EBD">
        <w:t xml:space="preserve">T1a </w:t>
      </w:r>
      <w:r w:rsidRPr="009E0EBD">
        <w:tab/>
        <w:t xml:space="preserve">Tumour invades </w:t>
      </w:r>
      <w:proofErr w:type="spellStart"/>
      <w:r w:rsidRPr="009E0EBD">
        <w:t>subepithelial</w:t>
      </w:r>
      <w:proofErr w:type="spellEnd"/>
      <w:r w:rsidRPr="009E0EBD">
        <w:t xml:space="preserve"> connective tissue** without </w:t>
      </w:r>
      <w:proofErr w:type="spellStart"/>
      <w:r w:rsidRPr="009E0EBD">
        <w:t>lymphovascular</w:t>
      </w:r>
      <w:proofErr w:type="spellEnd"/>
      <w:r w:rsidRPr="009E0EBD">
        <w:t xml:space="preserve"> invasion or perineural invasion and is not poorly differentiated (i.e. grade 3</w:t>
      </w:r>
      <w:r w:rsidR="00EC7424">
        <w:t xml:space="preserve"> or </w:t>
      </w:r>
      <w:proofErr w:type="spellStart"/>
      <w:r w:rsidR="00EC7424">
        <w:t>sarcomatoid</w:t>
      </w:r>
      <w:proofErr w:type="spellEnd"/>
      <w:r w:rsidR="00EC7424">
        <w:t>)</w:t>
      </w:r>
      <w:r w:rsidRPr="009E0EBD">
        <w:t xml:space="preserve"> </w:t>
      </w:r>
    </w:p>
    <w:p w14:paraId="45B7DBCC" w14:textId="77777777" w:rsidR="009E0EBD" w:rsidRPr="009E0EBD" w:rsidRDefault="009E0EBD" w:rsidP="009E0EBD">
      <w:pPr>
        <w:spacing w:after="120" w:line="259" w:lineRule="auto"/>
        <w:ind w:left="993" w:hanging="993"/>
        <w:jc w:val="left"/>
      </w:pPr>
      <w:r w:rsidRPr="009E0EBD">
        <w:t xml:space="preserve">T1b </w:t>
      </w:r>
      <w:r w:rsidRPr="009E0EBD">
        <w:tab/>
        <w:t xml:space="preserve">Tumour invades </w:t>
      </w:r>
      <w:proofErr w:type="spellStart"/>
      <w:r w:rsidRPr="009E0EBD">
        <w:t>subepithelial</w:t>
      </w:r>
      <w:proofErr w:type="spellEnd"/>
      <w:r w:rsidRPr="009E0EBD">
        <w:t xml:space="preserve"> connective tissue** with </w:t>
      </w:r>
      <w:proofErr w:type="spellStart"/>
      <w:r w:rsidRPr="009E0EBD">
        <w:t>lymphovascular</w:t>
      </w:r>
      <w:proofErr w:type="spellEnd"/>
      <w:r w:rsidRPr="009E0EBD">
        <w:t xml:space="preserve"> invasion or perineural invasion or is poorly differentiated </w:t>
      </w:r>
    </w:p>
    <w:p w14:paraId="3977FEEE" w14:textId="77777777" w:rsidR="009E0EBD" w:rsidRPr="009E0EBD" w:rsidRDefault="009E0EBD" w:rsidP="009E0EBD">
      <w:pPr>
        <w:spacing w:after="120" w:line="259" w:lineRule="auto"/>
        <w:ind w:left="993" w:hanging="993"/>
        <w:jc w:val="left"/>
      </w:pPr>
      <w:r w:rsidRPr="009E0EBD">
        <w:t>T2</w:t>
      </w:r>
      <w:r w:rsidRPr="009E0EBD">
        <w:rPr>
          <w:b/>
        </w:rPr>
        <w:t xml:space="preserve"> </w:t>
      </w:r>
      <w:r w:rsidRPr="009E0EBD">
        <w:tab/>
        <w:t xml:space="preserve">Tumour invades corpus </w:t>
      </w:r>
      <w:proofErr w:type="spellStart"/>
      <w:r w:rsidRPr="009E0EBD">
        <w:t>spongiosum</w:t>
      </w:r>
      <w:proofErr w:type="spellEnd"/>
      <w:r w:rsidRPr="009E0EBD">
        <w:t xml:space="preserve"> with or without invasion of the urethra</w:t>
      </w:r>
    </w:p>
    <w:p w14:paraId="4B7BB791" w14:textId="77777777" w:rsidR="009E0EBD" w:rsidRPr="009E0EBD" w:rsidRDefault="009E0EBD" w:rsidP="009E0EBD">
      <w:pPr>
        <w:spacing w:after="120" w:line="259" w:lineRule="auto"/>
        <w:ind w:left="993" w:hanging="993"/>
        <w:jc w:val="left"/>
      </w:pPr>
      <w:r w:rsidRPr="009E0EBD">
        <w:t>T3</w:t>
      </w:r>
      <w:r w:rsidRPr="009E0EBD">
        <w:rPr>
          <w:b/>
        </w:rPr>
        <w:t xml:space="preserve"> </w:t>
      </w:r>
      <w:r w:rsidRPr="009E0EBD">
        <w:tab/>
        <w:t xml:space="preserve">Tumour invades corpus </w:t>
      </w:r>
      <w:proofErr w:type="spellStart"/>
      <w:r w:rsidRPr="009E0EBD">
        <w:t>cavernosum</w:t>
      </w:r>
      <w:proofErr w:type="spellEnd"/>
    </w:p>
    <w:p w14:paraId="643E1DF9" w14:textId="77777777" w:rsidR="009E0EBD" w:rsidRPr="009E0EBD" w:rsidRDefault="009E0EBD" w:rsidP="009E0EBD">
      <w:pPr>
        <w:spacing w:after="120" w:line="259" w:lineRule="auto"/>
        <w:ind w:left="993" w:hanging="993"/>
        <w:jc w:val="left"/>
      </w:pPr>
      <w:r w:rsidRPr="009E0EBD">
        <w:t xml:space="preserve">T4 </w:t>
      </w:r>
      <w:r>
        <w:tab/>
      </w:r>
      <w:r w:rsidRPr="009E0EBD">
        <w:t xml:space="preserve">Tumour invades other adjacent structures </w:t>
      </w:r>
    </w:p>
    <w:p w14:paraId="3E10D3AA" w14:textId="77777777" w:rsidR="009E0EBD" w:rsidRDefault="009E0EBD" w:rsidP="009E0EBD">
      <w:pPr>
        <w:spacing w:after="0" w:line="259" w:lineRule="auto"/>
        <w:ind w:left="993" w:hanging="993"/>
        <w:jc w:val="left"/>
      </w:pPr>
    </w:p>
    <w:p w14:paraId="2695046A" w14:textId="527C250A" w:rsidR="009E0EBD" w:rsidRPr="009E0EBD" w:rsidRDefault="001E05B1" w:rsidP="00747880">
      <w:pPr>
        <w:spacing w:after="120" w:line="240" w:lineRule="auto"/>
        <w:ind w:left="0" w:hanging="1"/>
        <w:jc w:val="left"/>
      </w:pPr>
      <w:r>
        <w:t>*</w:t>
      </w:r>
      <w:r w:rsidR="009E0EBD" w:rsidRPr="009E0EBD">
        <w:t xml:space="preserve">Including verrucous carcinoma. </w:t>
      </w:r>
      <w:r w:rsidR="00747880" w:rsidRPr="00747880">
        <w:t>The authors view is that the cate</w:t>
      </w:r>
      <w:r w:rsidR="00747880">
        <w:t xml:space="preserve">gory Ta is to be used with care </w:t>
      </w:r>
      <w:r w:rsidR="00747880" w:rsidRPr="00747880">
        <w:t>as these tumours are exceptionally rare and are not evidence based</w:t>
      </w:r>
    </w:p>
    <w:p w14:paraId="3DD72050" w14:textId="77777777" w:rsidR="009E0EBD" w:rsidRDefault="001E05B1" w:rsidP="009E0EBD">
      <w:pPr>
        <w:spacing w:after="120" w:line="240" w:lineRule="auto"/>
        <w:ind w:left="992" w:hanging="992"/>
        <w:jc w:val="left"/>
      </w:pPr>
      <w:r>
        <w:t>**</w:t>
      </w:r>
      <w:r w:rsidR="009E0EBD" w:rsidRPr="009E0EBD">
        <w:t xml:space="preserve">Glans: Tumour invades lamina </w:t>
      </w:r>
      <w:proofErr w:type="spellStart"/>
      <w:r w:rsidR="009E0EBD" w:rsidRPr="009E0EBD">
        <w:t>propria</w:t>
      </w:r>
      <w:proofErr w:type="spellEnd"/>
      <w:r>
        <w:t>.</w:t>
      </w:r>
    </w:p>
    <w:p w14:paraId="00FF73AF" w14:textId="77777777" w:rsidR="009E0EBD" w:rsidRPr="009E0EBD" w:rsidRDefault="001E05B1" w:rsidP="001E05B1">
      <w:pPr>
        <w:spacing w:after="120" w:line="240" w:lineRule="auto"/>
        <w:jc w:val="left"/>
      </w:pPr>
      <w:r>
        <w:t xml:space="preserve">   </w:t>
      </w:r>
      <w:r w:rsidR="009E0EBD" w:rsidRPr="009E0EBD">
        <w:t xml:space="preserve">Foreskin: Tumour invades dermis, lamina </w:t>
      </w:r>
      <w:proofErr w:type="spellStart"/>
      <w:r w:rsidR="009E0EBD" w:rsidRPr="009E0EBD">
        <w:t>propria</w:t>
      </w:r>
      <w:proofErr w:type="spellEnd"/>
      <w:r w:rsidR="009E0EBD" w:rsidRPr="009E0EBD">
        <w:t xml:space="preserve"> or </w:t>
      </w:r>
      <w:proofErr w:type="spellStart"/>
      <w:r w:rsidR="009E0EBD" w:rsidRPr="009E0EBD">
        <w:t>dartos</w:t>
      </w:r>
      <w:proofErr w:type="spellEnd"/>
      <w:r w:rsidR="009E0EBD" w:rsidRPr="009E0EBD">
        <w:t xml:space="preserve"> fascia</w:t>
      </w:r>
      <w:r>
        <w:t>.</w:t>
      </w:r>
    </w:p>
    <w:p w14:paraId="6305B326" w14:textId="77777777" w:rsidR="009E0EBD" w:rsidRPr="009E0EBD" w:rsidDel="00C3104C" w:rsidRDefault="001E05B1" w:rsidP="001E05B1">
      <w:pPr>
        <w:tabs>
          <w:tab w:val="left" w:pos="142"/>
        </w:tabs>
        <w:spacing w:after="120" w:line="240" w:lineRule="auto"/>
        <w:jc w:val="left"/>
      </w:pPr>
      <w:r>
        <w:t xml:space="preserve">   </w:t>
      </w:r>
      <w:r w:rsidR="009E0EBD" w:rsidRPr="009E0EBD">
        <w:t xml:space="preserve">Shaft: Tumour invades connective tissue between epidermis and corpora and </w:t>
      </w:r>
      <w:r w:rsidR="009E0EBD">
        <w:t xml:space="preserve">regardless </w:t>
      </w:r>
      <w:r>
        <w:t xml:space="preserve">of     </w:t>
      </w:r>
      <w:r>
        <w:br/>
        <w:t xml:space="preserve">   </w:t>
      </w:r>
      <w:r w:rsidR="009E0EBD" w:rsidRPr="009E0EBD">
        <w:t>location</w:t>
      </w:r>
      <w:r>
        <w:t>.</w:t>
      </w:r>
    </w:p>
    <w:p w14:paraId="6CB6A9F2" w14:textId="77777777" w:rsidR="000E7702" w:rsidRDefault="00D52154">
      <w:pPr>
        <w:spacing w:after="0" w:line="259" w:lineRule="auto"/>
        <w:ind w:left="360" w:firstLine="0"/>
        <w:jc w:val="left"/>
        <w:rPr>
          <w:b/>
        </w:rPr>
      </w:pPr>
      <w:r w:rsidRPr="009E0EBD">
        <w:rPr>
          <w:b/>
        </w:rPr>
        <w:t xml:space="preserve"> </w:t>
      </w:r>
    </w:p>
    <w:p w14:paraId="36A298DC" w14:textId="77777777" w:rsidR="009E0EBD" w:rsidRDefault="009E0EBD">
      <w:pPr>
        <w:spacing w:after="0" w:line="259" w:lineRule="auto"/>
        <w:ind w:left="360" w:firstLine="0"/>
        <w:jc w:val="left"/>
      </w:pPr>
    </w:p>
    <w:p w14:paraId="5D4C096C" w14:textId="77777777" w:rsidR="00EC7424" w:rsidRPr="009E0EBD" w:rsidRDefault="00EC7424">
      <w:pPr>
        <w:spacing w:after="0" w:line="259" w:lineRule="auto"/>
        <w:ind w:left="360" w:firstLine="0"/>
        <w:jc w:val="left"/>
      </w:pPr>
    </w:p>
    <w:p w14:paraId="16CEF1C9" w14:textId="77777777" w:rsidR="000E7702" w:rsidRPr="009E0EBD" w:rsidRDefault="00D52154">
      <w:pPr>
        <w:pStyle w:val="Heading4"/>
        <w:ind w:left="-5"/>
      </w:pPr>
      <w:r w:rsidRPr="009E0EBD">
        <w:lastRenderedPageBreak/>
        <w:t xml:space="preserve">Regional lymph nodes (N) </w:t>
      </w:r>
    </w:p>
    <w:p w14:paraId="1C1E78E6" w14:textId="77777777" w:rsidR="000E7702" w:rsidRPr="009E0EBD" w:rsidRDefault="00D52154">
      <w:pPr>
        <w:spacing w:after="0" w:line="259" w:lineRule="auto"/>
        <w:ind w:left="0" w:firstLine="0"/>
        <w:jc w:val="left"/>
      </w:pPr>
      <w:r w:rsidRPr="009E0EBD">
        <w:t xml:space="preserve"> </w:t>
      </w:r>
    </w:p>
    <w:p w14:paraId="5810D0F7" w14:textId="77777777" w:rsidR="001631E7" w:rsidRPr="001631E7" w:rsidRDefault="00D52154" w:rsidP="001631E7">
      <w:pPr>
        <w:pStyle w:val="Heading5"/>
      </w:pPr>
      <w:r w:rsidRPr="009E0EBD">
        <w:t xml:space="preserve">Clinical stage definition </w:t>
      </w:r>
    </w:p>
    <w:p w14:paraId="182D8387" w14:textId="77777777" w:rsidR="009E0EBD" w:rsidRPr="009E0EBD" w:rsidRDefault="009E0EBD" w:rsidP="009E0EBD">
      <w:pPr>
        <w:spacing w:after="120" w:line="240" w:lineRule="auto"/>
        <w:ind w:left="992" w:hanging="992"/>
        <w:jc w:val="left"/>
      </w:pPr>
      <w:proofErr w:type="spellStart"/>
      <w:proofErr w:type="gramStart"/>
      <w:r w:rsidRPr="009E0EBD">
        <w:t>cNX</w:t>
      </w:r>
      <w:proofErr w:type="spellEnd"/>
      <w:proofErr w:type="gramEnd"/>
      <w:r w:rsidRPr="009E0EBD">
        <w:t xml:space="preserve"> </w:t>
      </w:r>
      <w:r w:rsidRPr="009E0EBD">
        <w:tab/>
        <w:t xml:space="preserve">Regional </w:t>
      </w:r>
      <w:r w:rsidR="001E05B1">
        <w:t>lymph nodes cannot be assessed</w:t>
      </w:r>
    </w:p>
    <w:p w14:paraId="251B85D2" w14:textId="77777777" w:rsidR="009E0EBD" w:rsidRPr="009E0EBD" w:rsidRDefault="009E0EBD" w:rsidP="009E0EBD">
      <w:pPr>
        <w:spacing w:after="120" w:line="240" w:lineRule="auto"/>
        <w:ind w:left="992" w:hanging="992"/>
        <w:jc w:val="left"/>
      </w:pPr>
      <w:proofErr w:type="gramStart"/>
      <w:r w:rsidRPr="009E0EBD">
        <w:t>cN0</w:t>
      </w:r>
      <w:proofErr w:type="gramEnd"/>
      <w:r w:rsidRPr="009E0EBD">
        <w:t xml:space="preserve"> </w:t>
      </w:r>
      <w:r w:rsidRPr="009E0EBD">
        <w:tab/>
        <w:t>No palpable or visibl</w:t>
      </w:r>
      <w:r w:rsidR="001631E7">
        <w:t>y enlarged inguinal lymph nodes</w:t>
      </w:r>
      <w:r w:rsidRPr="009E0EBD">
        <w:t xml:space="preserve"> </w:t>
      </w:r>
    </w:p>
    <w:p w14:paraId="2BE99079" w14:textId="77777777" w:rsidR="009E0EBD" w:rsidRPr="009E0EBD" w:rsidRDefault="009E0EBD" w:rsidP="009E0EBD">
      <w:pPr>
        <w:spacing w:after="120" w:line="240" w:lineRule="auto"/>
        <w:ind w:left="992" w:hanging="992"/>
        <w:jc w:val="left"/>
      </w:pPr>
      <w:proofErr w:type="gramStart"/>
      <w:r w:rsidRPr="009E0EBD">
        <w:t>cN1</w:t>
      </w:r>
      <w:proofErr w:type="gramEnd"/>
      <w:r w:rsidRPr="009E0EBD">
        <w:t xml:space="preserve"> </w:t>
      </w:r>
      <w:r w:rsidRPr="009E0EBD">
        <w:tab/>
        <w:t xml:space="preserve">Palpable mobile </w:t>
      </w:r>
      <w:r w:rsidR="001631E7">
        <w:t>unilateral inguinal lymph node</w:t>
      </w:r>
    </w:p>
    <w:p w14:paraId="3A583ADD" w14:textId="77777777" w:rsidR="009E0EBD" w:rsidRPr="009E0EBD" w:rsidRDefault="009E0EBD" w:rsidP="009E0EBD">
      <w:pPr>
        <w:spacing w:after="120" w:line="240" w:lineRule="auto"/>
        <w:ind w:left="992" w:hanging="992"/>
        <w:jc w:val="left"/>
      </w:pPr>
      <w:proofErr w:type="gramStart"/>
      <w:r w:rsidRPr="009E0EBD">
        <w:t>cN2</w:t>
      </w:r>
      <w:proofErr w:type="gramEnd"/>
      <w:r w:rsidRPr="009E0EBD">
        <w:t xml:space="preserve"> </w:t>
      </w:r>
      <w:r w:rsidRPr="009E0EBD">
        <w:tab/>
        <w:t xml:space="preserve">Palpable mobile multiple or </w:t>
      </w:r>
      <w:r w:rsidR="001631E7">
        <w:t>bilateral inguinal lymph nodes</w:t>
      </w:r>
    </w:p>
    <w:p w14:paraId="65D70002" w14:textId="77777777" w:rsidR="009E0EBD" w:rsidRPr="009E0EBD" w:rsidRDefault="009E0EBD" w:rsidP="009E0EBD">
      <w:pPr>
        <w:spacing w:after="120" w:line="240" w:lineRule="auto"/>
        <w:ind w:left="992" w:hanging="992"/>
        <w:jc w:val="left"/>
      </w:pPr>
      <w:proofErr w:type="gramStart"/>
      <w:r w:rsidRPr="009E0EBD">
        <w:t>cN3</w:t>
      </w:r>
      <w:proofErr w:type="gramEnd"/>
      <w:r w:rsidRPr="009E0EBD">
        <w:t xml:space="preserve"> </w:t>
      </w:r>
      <w:r w:rsidRPr="009E0EBD">
        <w:tab/>
        <w:t>Palpable fixed inguinal nodal mass or pelvic lymphaden</w:t>
      </w:r>
      <w:r>
        <w:t>opathy</w:t>
      </w:r>
      <w:r w:rsidR="001631E7">
        <w:t>,</w:t>
      </w:r>
      <w:r>
        <w:t xml:space="preserve"> unilateral or bilateral</w:t>
      </w:r>
    </w:p>
    <w:p w14:paraId="042830C3" w14:textId="77777777" w:rsidR="000E7702" w:rsidRPr="009E0EBD" w:rsidRDefault="00D52154" w:rsidP="009E0EBD">
      <w:pPr>
        <w:spacing w:after="0" w:line="259" w:lineRule="auto"/>
        <w:ind w:left="0" w:firstLine="0"/>
        <w:jc w:val="left"/>
        <w:rPr>
          <w:i/>
        </w:rPr>
      </w:pPr>
      <w:r w:rsidRPr="009E0EBD">
        <w:rPr>
          <w:i/>
        </w:rPr>
        <w:t xml:space="preserve">Pathologic stage definition </w:t>
      </w:r>
    </w:p>
    <w:p w14:paraId="14E348C3" w14:textId="77777777" w:rsidR="009E0EBD" w:rsidRPr="009E0EBD" w:rsidRDefault="009E0EBD" w:rsidP="009E0EBD">
      <w:pPr>
        <w:spacing w:after="120" w:line="240" w:lineRule="auto"/>
        <w:ind w:left="992" w:hanging="992"/>
        <w:jc w:val="left"/>
      </w:pPr>
      <w:proofErr w:type="spellStart"/>
      <w:proofErr w:type="gramStart"/>
      <w:r w:rsidRPr="009E0EBD">
        <w:t>pNX</w:t>
      </w:r>
      <w:proofErr w:type="spellEnd"/>
      <w:proofErr w:type="gramEnd"/>
      <w:r w:rsidRPr="009E0EBD">
        <w:t xml:space="preserve"> </w:t>
      </w:r>
      <w:r w:rsidRPr="009E0EBD">
        <w:tab/>
        <w:t xml:space="preserve">Regional </w:t>
      </w:r>
      <w:r>
        <w:t>lymph nodes cannot be assessed</w:t>
      </w:r>
    </w:p>
    <w:p w14:paraId="6E6B22D9" w14:textId="77777777" w:rsidR="009E0EBD" w:rsidRPr="009E0EBD" w:rsidRDefault="009E0EBD" w:rsidP="009E0EBD">
      <w:pPr>
        <w:spacing w:after="120" w:line="240" w:lineRule="auto"/>
        <w:ind w:left="992" w:hanging="992"/>
        <w:jc w:val="left"/>
      </w:pPr>
      <w:proofErr w:type="gramStart"/>
      <w:r w:rsidRPr="009E0EBD">
        <w:t>pN0</w:t>
      </w:r>
      <w:proofErr w:type="gramEnd"/>
      <w:r w:rsidRPr="009E0EBD">
        <w:t xml:space="preserve"> </w:t>
      </w:r>
      <w:r w:rsidRPr="009E0EBD">
        <w:tab/>
        <w:t xml:space="preserve">No </w:t>
      </w:r>
      <w:r>
        <w:t>regional lymph node metastasis</w:t>
      </w:r>
    </w:p>
    <w:p w14:paraId="1F24E003" w14:textId="5F232A3A" w:rsidR="009E0EBD" w:rsidRPr="009E0EBD" w:rsidRDefault="009E0EBD" w:rsidP="009E0EBD">
      <w:pPr>
        <w:spacing w:after="120" w:line="240" w:lineRule="auto"/>
        <w:ind w:left="992" w:hanging="992"/>
        <w:jc w:val="left"/>
      </w:pPr>
      <w:proofErr w:type="gramStart"/>
      <w:r w:rsidRPr="009E0EBD">
        <w:t>pN1</w:t>
      </w:r>
      <w:proofErr w:type="gramEnd"/>
      <w:r w:rsidRPr="009E0EBD">
        <w:t xml:space="preserve"> </w:t>
      </w:r>
      <w:r w:rsidRPr="009E0EBD">
        <w:tab/>
        <w:t>Metastasis i</w:t>
      </w:r>
      <w:r>
        <w:t xml:space="preserve">n </w:t>
      </w:r>
      <w:r w:rsidR="00EC7424">
        <w:t>up to two regional</w:t>
      </w:r>
      <w:r>
        <w:t xml:space="preserve"> lymph node</w:t>
      </w:r>
      <w:r w:rsidR="00EC7424">
        <w:t>s</w:t>
      </w:r>
    </w:p>
    <w:p w14:paraId="64B28C42" w14:textId="4F35BCDC" w:rsidR="009E0EBD" w:rsidRPr="009E0EBD" w:rsidRDefault="009E0EBD" w:rsidP="009E0EBD">
      <w:pPr>
        <w:spacing w:after="120" w:line="240" w:lineRule="auto"/>
        <w:ind w:left="992" w:hanging="992"/>
        <w:jc w:val="left"/>
      </w:pPr>
      <w:proofErr w:type="gramStart"/>
      <w:r w:rsidRPr="009E0EBD">
        <w:t>pN2</w:t>
      </w:r>
      <w:proofErr w:type="gramEnd"/>
      <w:r w:rsidRPr="009E0EBD">
        <w:t xml:space="preserve"> </w:t>
      </w:r>
      <w:r w:rsidRPr="009E0EBD">
        <w:tab/>
        <w:t xml:space="preserve">Metastases in </w:t>
      </w:r>
      <w:r w:rsidR="00EC7424">
        <w:t>three or more unilateral lymph nodes or</w:t>
      </w:r>
      <w:r w:rsidRPr="009E0EBD">
        <w:t xml:space="preserve"> </w:t>
      </w:r>
      <w:proofErr w:type="spellStart"/>
      <w:r w:rsidRPr="009E0EBD">
        <w:t>or</w:t>
      </w:r>
      <w:proofErr w:type="spellEnd"/>
      <w:r w:rsidRPr="009E0EBD">
        <w:t xml:space="preserve"> </w:t>
      </w:r>
      <w:r w:rsidR="001631E7">
        <w:t>bilateral inguinal lymph nodes</w:t>
      </w:r>
    </w:p>
    <w:p w14:paraId="30BBB085" w14:textId="77777777" w:rsidR="000E7702" w:rsidRPr="009E0EBD" w:rsidRDefault="009E0EBD" w:rsidP="001E05B1">
      <w:pPr>
        <w:spacing w:after="0" w:line="240" w:lineRule="auto"/>
        <w:ind w:left="992" w:hanging="992"/>
        <w:jc w:val="left"/>
      </w:pPr>
      <w:proofErr w:type="gramStart"/>
      <w:r w:rsidRPr="009E0EBD">
        <w:t>pN3</w:t>
      </w:r>
      <w:proofErr w:type="gramEnd"/>
      <w:r w:rsidRPr="009E0EBD">
        <w:t xml:space="preserve"> </w:t>
      </w:r>
      <w:r w:rsidRPr="009E0EBD">
        <w:tab/>
      </w:r>
      <w:proofErr w:type="spellStart"/>
      <w:r w:rsidRPr="009E0EBD">
        <w:t>Extranodal</w:t>
      </w:r>
      <w:proofErr w:type="spellEnd"/>
      <w:r w:rsidRPr="009E0EBD">
        <w:t xml:space="preserve"> extension of lymph node meta</w:t>
      </w:r>
      <w:r>
        <w:t xml:space="preserve">stasis or pelvic lymph node(s), </w:t>
      </w:r>
      <w:r w:rsidR="00D52154" w:rsidRPr="009E0EBD">
        <w:t xml:space="preserve">unilateral or bilateral </w:t>
      </w:r>
    </w:p>
    <w:p w14:paraId="2B6FB16A" w14:textId="77777777" w:rsidR="000E7702" w:rsidRPr="009E0EBD" w:rsidRDefault="00D52154">
      <w:pPr>
        <w:spacing w:after="0" w:line="259" w:lineRule="auto"/>
        <w:ind w:left="0" w:firstLine="0"/>
        <w:jc w:val="left"/>
      </w:pPr>
      <w:r w:rsidRPr="009E0EBD">
        <w:rPr>
          <w:b/>
        </w:rPr>
        <w:t xml:space="preserve"> </w:t>
      </w:r>
    </w:p>
    <w:p w14:paraId="76F5F3D7" w14:textId="77777777" w:rsidR="000E7702" w:rsidRPr="009E0EBD" w:rsidRDefault="00D52154">
      <w:pPr>
        <w:spacing w:after="0" w:line="259" w:lineRule="auto"/>
        <w:ind w:left="0" w:firstLine="0"/>
        <w:jc w:val="left"/>
      </w:pPr>
      <w:r w:rsidRPr="009E0EBD">
        <w:rPr>
          <w:i/>
        </w:rPr>
        <w:t xml:space="preserve"> </w:t>
      </w:r>
    </w:p>
    <w:p w14:paraId="5498721F" w14:textId="77777777" w:rsidR="000E7702" w:rsidRPr="009E0EBD" w:rsidRDefault="00D52154">
      <w:pPr>
        <w:pStyle w:val="Heading4"/>
        <w:ind w:left="-5"/>
      </w:pPr>
      <w:r w:rsidRPr="009E0EBD">
        <w:t xml:space="preserve">Distant metastasis (M) </w:t>
      </w:r>
    </w:p>
    <w:p w14:paraId="775EE234" w14:textId="77777777" w:rsidR="000E7702" w:rsidRPr="009E0EBD" w:rsidRDefault="00D52154">
      <w:pPr>
        <w:spacing w:after="0" w:line="259" w:lineRule="auto"/>
        <w:ind w:left="0" w:firstLine="0"/>
        <w:jc w:val="left"/>
      </w:pPr>
      <w:r w:rsidRPr="009E0EBD">
        <w:rPr>
          <w:b/>
        </w:rPr>
        <w:t xml:space="preserve">  </w:t>
      </w:r>
    </w:p>
    <w:p w14:paraId="0E18E805" w14:textId="77777777" w:rsidR="000E7702" w:rsidRPr="009E0EBD" w:rsidRDefault="00D52154" w:rsidP="00E07FA7">
      <w:pPr>
        <w:tabs>
          <w:tab w:val="center" w:pos="2908"/>
        </w:tabs>
        <w:spacing w:after="120" w:line="240" w:lineRule="auto"/>
        <w:ind w:left="992" w:hanging="993"/>
        <w:jc w:val="left"/>
      </w:pPr>
      <w:r w:rsidRPr="009E0EBD">
        <w:t xml:space="preserve">M0 </w:t>
      </w:r>
      <w:r w:rsidRPr="009E0EBD">
        <w:tab/>
        <w:t>No distant metas</w:t>
      </w:r>
      <w:r w:rsidR="009E0EBD">
        <w:t>tasis (clinical category only)</w:t>
      </w:r>
    </w:p>
    <w:p w14:paraId="6C89B67F" w14:textId="77777777" w:rsidR="000E7702" w:rsidRPr="009E0EBD" w:rsidRDefault="009E0EBD" w:rsidP="001E05B1">
      <w:pPr>
        <w:tabs>
          <w:tab w:val="center" w:pos="1637"/>
        </w:tabs>
        <w:spacing w:after="0" w:line="240" w:lineRule="auto"/>
        <w:ind w:left="992" w:hanging="992"/>
        <w:jc w:val="left"/>
      </w:pPr>
      <w:r>
        <w:t xml:space="preserve">M1 </w:t>
      </w:r>
      <w:r>
        <w:tab/>
        <w:t>Distant metastasis</w:t>
      </w:r>
      <w:r w:rsidR="001E05B1">
        <w:t xml:space="preserve"> –</w:t>
      </w:r>
      <w:r w:rsidR="00E07FA7">
        <w:t xml:space="preserve"> </w:t>
      </w:r>
      <w:r w:rsidR="001E05B1">
        <w:t>i</w:t>
      </w:r>
      <w:r w:rsidR="00D52154" w:rsidRPr="009E0EBD">
        <w:t xml:space="preserve">ncludes lymph node metastasis outside of the true pelvis in addition to </w:t>
      </w:r>
      <w:r w:rsidR="00E07FA7">
        <w:t>visceral or bone sites</w:t>
      </w:r>
    </w:p>
    <w:p w14:paraId="7A2B0631" w14:textId="77777777" w:rsidR="000E7702" w:rsidRPr="009E0EBD" w:rsidRDefault="00D52154">
      <w:pPr>
        <w:spacing w:after="0" w:line="259" w:lineRule="auto"/>
        <w:ind w:left="0" w:firstLine="0"/>
        <w:jc w:val="left"/>
      </w:pPr>
      <w:r w:rsidRPr="009E0EBD">
        <w:rPr>
          <w:b/>
        </w:rPr>
        <w:t xml:space="preserve"> </w:t>
      </w:r>
    </w:p>
    <w:p w14:paraId="5F9980E8" w14:textId="77777777" w:rsidR="000E7702" w:rsidRPr="009E0EBD" w:rsidRDefault="00D52154">
      <w:pPr>
        <w:spacing w:after="0" w:line="259" w:lineRule="auto"/>
        <w:ind w:left="0" w:firstLine="0"/>
        <w:jc w:val="left"/>
      </w:pPr>
      <w:r w:rsidRPr="009E0EBD">
        <w:rPr>
          <w:b/>
        </w:rPr>
        <w:t xml:space="preserve"> </w:t>
      </w:r>
    </w:p>
    <w:p w14:paraId="1EF32EE8" w14:textId="77777777" w:rsidR="000E7702" w:rsidRPr="009E0EBD" w:rsidRDefault="00D52154">
      <w:pPr>
        <w:pStyle w:val="Heading4"/>
        <w:ind w:left="-5"/>
      </w:pPr>
      <w:r w:rsidRPr="009E0EBD">
        <w:t xml:space="preserve">Anatomic stage/prognostic groups </w:t>
      </w:r>
    </w:p>
    <w:p w14:paraId="725B3FF6" w14:textId="77777777" w:rsidR="000E7702" w:rsidRPr="009E0EBD" w:rsidRDefault="00D52154">
      <w:pPr>
        <w:spacing w:after="0" w:line="259" w:lineRule="auto"/>
        <w:ind w:left="0" w:firstLine="0"/>
        <w:jc w:val="left"/>
      </w:pPr>
      <w:r w:rsidRPr="009E0EBD">
        <w:t xml:space="preserve"> </w:t>
      </w:r>
    </w:p>
    <w:tbl>
      <w:tblPr>
        <w:tblStyle w:val="TableGrid"/>
        <w:tblW w:w="3970" w:type="dxa"/>
        <w:tblInd w:w="113" w:type="dxa"/>
        <w:tblCellMar>
          <w:top w:w="88" w:type="dxa"/>
          <w:left w:w="108" w:type="dxa"/>
          <w:right w:w="115" w:type="dxa"/>
        </w:tblCellMar>
        <w:tblLook w:val="04A0" w:firstRow="1" w:lastRow="0" w:firstColumn="1" w:lastColumn="0" w:noHBand="0" w:noVBand="1"/>
      </w:tblPr>
      <w:tblGrid>
        <w:gridCol w:w="993"/>
        <w:gridCol w:w="991"/>
        <w:gridCol w:w="992"/>
        <w:gridCol w:w="994"/>
      </w:tblGrid>
      <w:tr w:rsidR="000E7702" w:rsidRPr="009E0EBD" w14:paraId="49999C13" w14:textId="77777777" w:rsidTr="001E05B1">
        <w:trPr>
          <w:trHeight w:val="422"/>
        </w:trPr>
        <w:tc>
          <w:tcPr>
            <w:tcW w:w="993" w:type="dxa"/>
            <w:tcBorders>
              <w:top w:val="single" w:sz="4" w:space="0" w:color="000000"/>
              <w:left w:val="single" w:sz="4" w:space="0" w:color="000000"/>
              <w:bottom w:val="single" w:sz="4" w:space="0" w:color="000000"/>
              <w:right w:val="single" w:sz="4" w:space="0" w:color="000000"/>
            </w:tcBorders>
          </w:tcPr>
          <w:p w14:paraId="31B1BDB9" w14:textId="77777777" w:rsidR="000E7702" w:rsidRPr="009E0EBD" w:rsidRDefault="00D52154">
            <w:pPr>
              <w:spacing w:after="0" w:line="259" w:lineRule="auto"/>
              <w:ind w:left="0" w:firstLine="0"/>
              <w:jc w:val="left"/>
            </w:pPr>
            <w:r w:rsidRPr="009E0EBD">
              <w:rPr>
                <w:b/>
              </w:rPr>
              <w:t xml:space="preserve">Stage </w:t>
            </w:r>
          </w:p>
        </w:tc>
        <w:tc>
          <w:tcPr>
            <w:tcW w:w="991" w:type="dxa"/>
            <w:tcBorders>
              <w:top w:val="single" w:sz="4" w:space="0" w:color="000000"/>
              <w:left w:val="single" w:sz="4" w:space="0" w:color="000000"/>
              <w:bottom w:val="single" w:sz="4" w:space="0" w:color="000000"/>
              <w:right w:val="single" w:sz="4" w:space="0" w:color="000000"/>
            </w:tcBorders>
          </w:tcPr>
          <w:p w14:paraId="0AC837B4" w14:textId="77777777" w:rsidR="000E7702" w:rsidRPr="009E0EBD" w:rsidRDefault="00D52154">
            <w:pPr>
              <w:spacing w:after="0" w:line="259" w:lineRule="auto"/>
              <w:ind w:left="0" w:firstLine="0"/>
              <w:jc w:val="left"/>
            </w:pPr>
            <w:r w:rsidRPr="009E0EBD">
              <w:rPr>
                <w:b/>
              </w:rPr>
              <w:t xml:space="preserve">T </w:t>
            </w:r>
          </w:p>
        </w:tc>
        <w:tc>
          <w:tcPr>
            <w:tcW w:w="992" w:type="dxa"/>
            <w:tcBorders>
              <w:top w:val="single" w:sz="4" w:space="0" w:color="000000"/>
              <w:left w:val="single" w:sz="4" w:space="0" w:color="000000"/>
              <w:bottom w:val="single" w:sz="4" w:space="0" w:color="000000"/>
              <w:right w:val="single" w:sz="4" w:space="0" w:color="000000"/>
            </w:tcBorders>
          </w:tcPr>
          <w:p w14:paraId="3E0DB188" w14:textId="77777777" w:rsidR="000E7702" w:rsidRPr="009E0EBD" w:rsidRDefault="00D52154">
            <w:pPr>
              <w:spacing w:after="0" w:line="259" w:lineRule="auto"/>
              <w:ind w:left="3" w:firstLine="0"/>
              <w:jc w:val="left"/>
            </w:pPr>
            <w:r w:rsidRPr="009E0EBD">
              <w:rPr>
                <w:b/>
              </w:rPr>
              <w:t xml:space="preserve">N </w:t>
            </w:r>
          </w:p>
        </w:tc>
        <w:tc>
          <w:tcPr>
            <w:tcW w:w="994" w:type="dxa"/>
            <w:tcBorders>
              <w:top w:val="single" w:sz="4" w:space="0" w:color="000000"/>
              <w:left w:val="single" w:sz="4" w:space="0" w:color="000000"/>
              <w:bottom w:val="single" w:sz="4" w:space="0" w:color="000000"/>
              <w:right w:val="single" w:sz="4" w:space="0" w:color="000000"/>
            </w:tcBorders>
          </w:tcPr>
          <w:p w14:paraId="2E6090A3" w14:textId="77777777" w:rsidR="000E7702" w:rsidRPr="009E0EBD" w:rsidRDefault="00D52154">
            <w:pPr>
              <w:spacing w:after="0" w:line="259" w:lineRule="auto"/>
              <w:ind w:left="2" w:firstLine="0"/>
              <w:jc w:val="left"/>
            </w:pPr>
            <w:r w:rsidRPr="009E0EBD">
              <w:rPr>
                <w:b/>
              </w:rPr>
              <w:t xml:space="preserve">M </w:t>
            </w:r>
          </w:p>
        </w:tc>
      </w:tr>
      <w:tr w:rsidR="001E05B1" w:rsidRPr="009E0EBD" w14:paraId="7F427308" w14:textId="77777777" w:rsidTr="00747743">
        <w:trPr>
          <w:trHeight w:val="422"/>
        </w:trPr>
        <w:tc>
          <w:tcPr>
            <w:tcW w:w="993" w:type="dxa"/>
            <w:vMerge w:val="restart"/>
            <w:tcBorders>
              <w:top w:val="single" w:sz="4" w:space="0" w:color="000000"/>
              <w:left w:val="single" w:sz="4" w:space="0" w:color="000000"/>
              <w:right w:val="single" w:sz="4" w:space="0" w:color="000000"/>
            </w:tcBorders>
          </w:tcPr>
          <w:p w14:paraId="25055D18" w14:textId="77777777" w:rsidR="001E05B1" w:rsidRPr="009E0EBD" w:rsidRDefault="001E05B1">
            <w:pPr>
              <w:spacing w:after="0" w:line="259" w:lineRule="auto"/>
              <w:ind w:left="0" w:firstLine="0"/>
              <w:jc w:val="left"/>
            </w:pPr>
            <w:r w:rsidRPr="009E0EBD">
              <w:rPr>
                <w:b/>
              </w:rPr>
              <w:t xml:space="preserve">0 </w:t>
            </w:r>
          </w:p>
          <w:p w14:paraId="59D1338A" w14:textId="77777777" w:rsidR="001E05B1" w:rsidRPr="009E0EBD" w:rsidRDefault="001E05B1" w:rsidP="00747743">
            <w:pPr>
              <w:spacing w:after="0"/>
              <w:ind w:left="0"/>
              <w:jc w:val="left"/>
            </w:pPr>
            <w:r w:rsidRPr="009E0EBD">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9B31C75" w14:textId="77777777" w:rsidR="001E05B1" w:rsidRPr="009E0EBD" w:rsidRDefault="001E05B1">
            <w:pPr>
              <w:spacing w:after="0" w:line="259" w:lineRule="auto"/>
              <w:ind w:left="0" w:firstLine="0"/>
              <w:jc w:val="left"/>
            </w:pPr>
            <w:r w:rsidRPr="009E0EBD">
              <w:t xml:space="preserve">Tis </w:t>
            </w:r>
          </w:p>
        </w:tc>
        <w:tc>
          <w:tcPr>
            <w:tcW w:w="992" w:type="dxa"/>
            <w:tcBorders>
              <w:top w:val="single" w:sz="4" w:space="0" w:color="000000"/>
              <w:left w:val="single" w:sz="4" w:space="0" w:color="000000"/>
              <w:bottom w:val="single" w:sz="4" w:space="0" w:color="000000"/>
              <w:right w:val="single" w:sz="4" w:space="0" w:color="000000"/>
            </w:tcBorders>
          </w:tcPr>
          <w:p w14:paraId="7757A0D9" w14:textId="77777777" w:rsidR="001E05B1" w:rsidRPr="009E0EBD" w:rsidRDefault="001E05B1">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77C297B2" w14:textId="77777777" w:rsidR="001E05B1" w:rsidRPr="009E0EBD" w:rsidRDefault="001E05B1">
            <w:pPr>
              <w:spacing w:after="0" w:line="259" w:lineRule="auto"/>
              <w:ind w:left="2" w:firstLine="0"/>
              <w:jc w:val="left"/>
            </w:pPr>
            <w:r w:rsidRPr="009E0EBD">
              <w:t xml:space="preserve">M0 </w:t>
            </w:r>
          </w:p>
        </w:tc>
      </w:tr>
      <w:tr w:rsidR="001E05B1" w:rsidRPr="009E0EBD" w14:paraId="2B7F451C" w14:textId="77777777" w:rsidTr="00747743">
        <w:trPr>
          <w:trHeight w:val="425"/>
        </w:trPr>
        <w:tc>
          <w:tcPr>
            <w:tcW w:w="993" w:type="dxa"/>
            <w:vMerge/>
            <w:tcBorders>
              <w:left w:val="single" w:sz="4" w:space="0" w:color="000000"/>
              <w:bottom w:val="single" w:sz="4" w:space="0" w:color="000000"/>
              <w:right w:val="single" w:sz="4" w:space="0" w:color="000000"/>
            </w:tcBorders>
          </w:tcPr>
          <w:p w14:paraId="33440559" w14:textId="77777777" w:rsidR="001E05B1" w:rsidRPr="009E0EBD" w:rsidRDefault="001E05B1">
            <w:pPr>
              <w:spacing w:after="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538E0285" w14:textId="77777777" w:rsidR="001E05B1" w:rsidRPr="009E0EBD" w:rsidRDefault="001E05B1">
            <w:pPr>
              <w:spacing w:after="0" w:line="259" w:lineRule="auto"/>
              <w:ind w:left="0" w:firstLine="0"/>
              <w:jc w:val="left"/>
            </w:pPr>
            <w:r w:rsidRPr="009E0EBD">
              <w:t xml:space="preserve">Ta </w:t>
            </w:r>
          </w:p>
        </w:tc>
        <w:tc>
          <w:tcPr>
            <w:tcW w:w="992" w:type="dxa"/>
            <w:tcBorders>
              <w:top w:val="single" w:sz="4" w:space="0" w:color="000000"/>
              <w:left w:val="single" w:sz="4" w:space="0" w:color="000000"/>
              <w:bottom w:val="single" w:sz="4" w:space="0" w:color="000000"/>
              <w:right w:val="single" w:sz="4" w:space="0" w:color="000000"/>
            </w:tcBorders>
          </w:tcPr>
          <w:p w14:paraId="0A038455" w14:textId="77777777" w:rsidR="001E05B1" w:rsidRPr="009E0EBD" w:rsidRDefault="001E05B1">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43F86674" w14:textId="77777777" w:rsidR="001E05B1" w:rsidRPr="009E0EBD" w:rsidRDefault="001E05B1">
            <w:pPr>
              <w:spacing w:after="0" w:line="259" w:lineRule="auto"/>
              <w:ind w:left="2" w:firstLine="0"/>
              <w:jc w:val="left"/>
            </w:pPr>
            <w:r w:rsidRPr="009E0EBD">
              <w:t xml:space="preserve">M0 </w:t>
            </w:r>
          </w:p>
        </w:tc>
      </w:tr>
      <w:tr w:rsidR="000E7702" w:rsidRPr="009E0EBD" w14:paraId="3E2AC975" w14:textId="77777777" w:rsidTr="001E05B1">
        <w:trPr>
          <w:trHeight w:val="422"/>
        </w:trPr>
        <w:tc>
          <w:tcPr>
            <w:tcW w:w="993" w:type="dxa"/>
            <w:tcBorders>
              <w:top w:val="single" w:sz="4" w:space="0" w:color="000000"/>
              <w:left w:val="single" w:sz="4" w:space="0" w:color="000000"/>
              <w:bottom w:val="single" w:sz="4" w:space="0" w:color="000000"/>
              <w:right w:val="single" w:sz="4" w:space="0" w:color="000000"/>
            </w:tcBorders>
          </w:tcPr>
          <w:p w14:paraId="4C8B1C43" w14:textId="77777777" w:rsidR="000E7702" w:rsidRPr="009E0EBD" w:rsidRDefault="00D52154">
            <w:pPr>
              <w:spacing w:after="0" w:line="259" w:lineRule="auto"/>
              <w:ind w:left="0" w:firstLine="0"/>
              <w:jc w:val="left"/>
            </w:pPr>
            <w:r w:rsidRPr="009E0EBD">
              <w:rPr>
                <w:b/>
              </w:rPr>
              <w:t xml:space="preserve">I </w:t>
            </w:r>
          </w:p>
        </w:tc>
        <w:tc>
          <w:tcPr>
            <w:tcW w:w="991" w:type="dxa"/>
            <w:tcBorders>
              <w:top w:val="single" w:sz="4" w:space="0" w:color="000000"/>
              <w:left w:val="single" w:sz="4" w:space="0" w:color="000000"/>
              <w:bottom w:val="single" w:sz="4" w:space="0" w:color="000000"/>
              <w:right w:val="single" w:sz="4" w:space="0" w:color="000000"/>
            </w:tcBorders>
          </w:tcPr>
          <w:p w14:paraId="0FC80F0F" w14:textId="77777777" w:rsidR="000E7702" w:rsidRPr="009E0EBD" w:rsidRDefault="00D52154">
            <w:pPr>
              <w:spacing w:after="0" w:line="259" w:lineRule="auto"/>
              <w:ind w:left="0" w:firstLine="0"/>
              <w:jc w:val="left"/>
            </w:pPr>
            <w:r w:rsidRPr="009E0EBD">
              <w:t xml:space="preserve">T1a </w:t>
            </w:r>
          </w:p>
        </w:tc>
        <w:tc>
          <w:tcPr>
            <w:tcW w:w="992" w:type="dxa"/>
            <w:tcBorders>
              <w:top w:val="single" w:sz="4" w:space="0" w:color="000000"/>
              <w:left w:val="single" w:sz="4" w:space="0" w:color="000000"/>
              <w:bottom w:val="single" w:sz="4" w:space="0" w:color="000000"/>
              <w:right w:val="single" w:sz="4" w:space="0" w:color="000000"/>
            </w:tcBorders>
          </w:tcPr>
          <w:p w14:paraId="08F66854" w14:textId="77777777" w:rsidR="000E7702" w:rsidRPr="009E0EBD" w:rsidRDefault="00D52154">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700D02A1" w14:textId="77777777" w:rsidR="000E7702" w:rsidRPr="009E0EBD" w:rsidRDefault="00D52154">
            <w:pPr>
              <w:spacing w:after="0" w:line="259" w:lineRule="auto"/>
              <w:ind w:left="2" w:firstLine="0"/>
              <w:jc w:val="left"/>
            </w:pPr>
            <w:r w:rsidRPr="009E0EBD">
              <w:t xml:space="preserve">M0 </w:t>
            </w:r>
          </w:p>
        </w:tc>
      </w:tr>
      <w:tr w:rsidR="001E05B1" w:rsidRPr="009E0EBD" w14:paraId="6D68D2FC" w14:textId="77777777" w:rsidTr="0063419B">
        <w:trPr>
          <w:trHeight w:val="422"/>
        </w:trPr>
        <w:tc>
          <w:tcPr>
            <w:tcW w:w="993" w:type="dxa"/>
            <w:vMerge w:val="restart"/>
            <w:tcBorders>
              <w:top w:val="single" w:sz="4" w:space="0" w:color="000000"/>
              <w:left w:val="single" w:sz="4" w:space="0" w:color="000000"/>
              <w:right w:val="single" w:sz="4" w:space="0" w:color="000000"/>
            </w:tcBorders>
          </w:tcPr>
          <w:p w14:paraId="0A7F67CC" w14:textId="77777777" w:rsidR="001E05B1" w:rsidRPr="009E0EBD" w:rsidRDefault="001E05B1">
            <w:pPr>
              <w:spacing w:after="0" w:line="259" w:lineRule="auto"/>
              <w:ind w:left="0" w:firstLine="0"/>
              <w:jc w:val="left"/>
            </w:pPr>
            <w:r w:rsidRPr="009E0EBD">
              <w:rPr>
                <w:b/>
              </w:rPr>
              <w:t xml:space="preserve">IIA </w:t>
            </w:r>
          </w:p>
          <w:p w14:paraId="54BDABDD" w14:textId="77777777" w:rsidR="001E05B1" w:rsidRPr="009E0EBD" w:rsidRDefault="001E05B1" w:rsidP="0063419B">
            <w:pPr>
              <w:spacing w:after="0"/>
              <w:ind w:left="0"/>
              <w:jc w:val="left"/>
            </w:pPr>
            <w:r w:rsidRPr="009E0EBD">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B772451" w14:textId="77777777" w:rsidR="001E05B1" w:rsidRPr="009E0EBD" w:rsidRDefault="001E05B1">
            <w:pPr>
              <w:spacing w:after="0" w:line="259" w:lineRule="auto"/>
              <w:ind w:left="0" w:firstLine="0"/>
              <w:jc w:val="left"/>
            </w:pPr>
            <w:r w:rsidRPr="009E0EBD">
              <w:t xml:space="preserve">T1b </w:t>
            </w:r>
          </w:p>
        </w:tc>
        <w:tc>
          <w:tcPr>
            <w:tcW w:w="992" w:type="dxa"/>
            <w:tcBorders>
              <w:top w:val="single" w:sz="4" w:space="0" w:color="000000"/>
              <w:left w:val="single" w:sz="4" w:space="0" w:color="000000"/>
              <w:bottom w:val="single" w:sz="4" w:space="0" w:color="000000"/>
              <w:right w:val="single" w:sz="4" w:space="0" w:color="000000"/>
            </w:tcBorders>
          </w:tcPr>
          <w:p w14:paraId="74B8E188" w14:textId="77777777" w:rsidR="001E05B1" w:rsidRPr="009E0EBD" w:rsidRDefault="001E05B1">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73B121C1" w14:textId="77777777" w:rsidR="001E05B1" w:rsidRPr="009E0EBD" w:rsidRDefault="001E05B1">
            <w:pPr>
              <w:spacing w:after="0" w:line="259" w:lineRule="auto"/>
              <w:ind w:left="2" w:firstLine="0"/>
              <w:jc w:val="left"/>
            </w:pPr>
            <w:r w:rsidRPr="009E0EBD">
              <w:t xml:space="preserve">M0 </w:t>
            </w:r>
          </w:p>
        </w:tc>
      </w:tr>
      <w:tr w:rsidR="001E05B1" w:rsidRPr="009E0EBD" w14:paraId="1BC4B673" w14:textId="77777777" w:rsidTr="0063419B">
        <w:trPr>
          <w:trHeight w:val="423"/>
        </w:trPr>
        <w:tc>
          <w:tcPr>
            <w:tcW w:w="993" w:type="dxa"/>
            <w:vMerge/>
            <w:tcBorders>
              <w:left w:val="single" w:sz="4" w:space="0" w:color="000000"/>
              <w:bottom w:val="single" w:sz="4" w:space="0" w:color="000000"/>
              <w:right w:val="single" w:sz="4" w:space="0" w:color="000000"/>
            </w:tcBorders>
          </w:tcPr>
          <w:p w14:paraId="697300B6" w14:textId="77777777" w:rsidR="001E05B1" w:rsidRPr="009E0EBD" w:rsidRDefault="001E05B1">
            <w:pPr>
              <w:spacing w:after="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7BEF26FF" w14:textId="77777777" w:rsidR="001E05B1" w:rsidRPr="009E0EBD" w:rsidRDefault="001E05B1">
            <w:pPr>
              <w:spacing w:after="0" w:line="259" w:lineRule="auto"/>
              <w:ind w:left="0" w:firstLine="0"/>
              <w:jc w:val="left"/>
            </w:pPr>
            <w:r w:rsidRPr="009E0EBD">
              <w:t xml:space="preserve">T2 </w:t>
            </w:r>
          </w:p>
        </w:tc>
        <w:tc>
          <w:tcPr>
            <w:tcW w:w="992" w:type="dxa"/>
            <w:tcBorders>
              <w:top w:val="single" w:sz="4" w:space="0" w:color="000000"/>
              <w:left w:val="single" w:sz="4" w:space="0" w:color="000000"/>
              <w:bottom w:val="single" w:sz="4" w:space="0" w:color="000000"/>
              <w:right w:val="single" w:sz="4" w:space="0" w:color="000000"/>
            </w:tcBorders>
          </w:tcPr>
          <w:p w14:paraId="20B7FF85" w14:textId="77777777" w:rsidR="001E05B1" w:rsidRPr="009E0EBD" w:rsidRDefault="001E05B1">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4DD266F5" w14:textId="77777777" w:rsidR="001E05B1" w:rsidRPr="009E0EBD" w:rsidRDefault="001E05B1">
            <w:pPr>
              <w:spacing w:after="0" w:line="259" w:lineRule="auto"/>
              <w:ind w:left="2" w:firstLine="0"/>
              <w:jc w:val="left"/>
            </w:pPr>
            <w:r w:rsidRPr="009E0EBD">
              <w:t xml:space="preserve">M0 </w:t>
            </w:r>
          </w:p>
        </w:tc>
      </w:tr>
      <w:tr w:rsidR="000E7702" w:rsidRPr="009E0EBD" w14:paraId="5BADF680" w14:textId="77777777" w:rsidTr="001E05B1">
        <w:trPr>
          <w:trHeight w:val="425"/>
        </w:trPr>
        <w:tc>
          <w:tcPr>
            <w:tcW w:w="993" w:type="dxa"/>
            <w:tcBorders>
              <w:top w:val="single" w:sz="4" w:space="0" w:color="000000"/>
              <w:left w:val="single" w:sz="4" w:space="0" w:color="000000"/>
              <w:bottom w:val="single" w:sz="4" w:space="0" w:color="000000"/>
              <w:right w:val="single" w:sz="4" w:space="0" w:color="000000"/>
            </w:tcBorders>
          </w:tcPr>
          <w:p w14:paraId="64980D67" w14:textId="77777777" w:rsidR="000E7702" w:rsidRPr="009E0EBD" w:rsidRDefault="00CB37E7">
            <w:pPr>
              <w:spacing w:after="0" w:line="259" w:lineRule="auto"/>
              <w:ind w:left="0" w:firstLine="0"/>
              <w:jc w:val="left"/>
            </w:pPr>
            <w:r w:rsidRPr="009E0EBD">
              <w:rPr>
                <w:b/>
              </w:rPr>
              <w:t>IIB</w:t>
            </w:r>
          </w:p>
        </w:tc>
        <w:tc>
          <w:tcPr>
            <w:tcW w:w="991" w:type="dxa"/>
            <w:tcBorders>
              <w:top w:val="single" w:sz="4" w:space="0" w:color="000000"/>
              <w:left w:val="single" w:sz="4" w:space="0" w:color="000000"/>
              <w:bottom w:val="single" w:sz="4" w:space="0" w:color="000000"/>
              <w:right w:val="single" w:sz="4" w:space="0" w:color="000000"/>
            </w:tcBorders>
          </w:tcPr>
          <w:p w14:paraId="38470807" w14:textId="77777777" w:rsidR="000E7702" w:rsidRPr="009E0EBD" w:rsidRDefault="00D52154">
            <w:pPr>
              <w:spacing w:after="0" w:line="259" w:lineRule="auto"/>
              <w:ind w:left="0" w:firstLine="0"/>
              <w:jc w:val="left"/>
            </w:pPr>
            <w:r w:rsidRPr="009E0EBD">
              <w:t xml:space="preserve">T3 </w:t>
            </w:r>
          </w:p>
        </w:tc>
        <w:tc>
          <w:tcPr>
            <w:tcW w:w="992" w:type="dxa"/>
            <w:tcBorders>
              <w:top w:val="single" w:sz="4" w:space="0" w:color="000000"/>
              <w:left w:val="single" w:sz="4" w:space="0" w:color="000000"/>
              <w:bottom w:val="single" w:sz="4" w:space="0" w:color="000000"/>
              <w:right w:val="single" w:sz="4" w:space="0" w:color="000000"/>
            </w:tcBorders>
          </w:tcPr>
          <w:p w14:paraId="180BC5B1" w14:textId="77777777" w:rsidR="000E7702" w:rsidRPr="009E0EBD" w:rsidRDefault="00D52154">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16ABE647" w14:textId="77777777" w:rsidR="000E7702" w:rsidRPr="009E0EBD" w:rsidRDefault="00D52154">
            <w:pPr>
              <w:spacing w:after="0" w:line="259" w:lineRule="auto"/>
              <w:ind w:left="2" w:firstLine="0"/>
              <w:jc w:val="left"/>
            </w:pPr>
            <w:r w:rsidRPr="009E0EBD">
              <w:t xml:space="preserve">M0 </w:t>
            </w:r>
          </w:p>
        </w:tc>
      </w:tr>
      <w:tr w:rsidR="000E7702" w:rsidRPr="009E0EBD" w14:paraId="577DFE5D" w14:textId="77777777" w:rsidTr="001E05B1">
        <w:trPr>
          <w:trHeight w:val="422"/>
        </w:trPr>
        <w:tc>
          <w:tcPr>
            <w:tcW w:w="993" w:type="dxa"/>
            <w:tcBorders>
              <w:top w:val="single" w:sz="4" w:space="0" w:color="000000"/>
              <w:left w:val="single" w:sz="4" w:space="0" w:color="000000"/>
              <w:bottom w:val="single" w:sz="4" w:space="0" w:color="000000"/>
              <w:right w:val="single" w:sz="4" w:space="0" w:color="000000"/>
            </w:tcBorders>
          </w:tcPr>
          <w:p w14:paraId="3BD67BFE" w14:textId="77777777" w:rsidR="000E7702" w:rsidRPr="009E0EBD" w:rsidRDefault="00D52154">
            <w:pPr>
              <w:spacing w:after="0" w:line="259" w:lineRule="auto"/>
              <w:ind w:left="0" w:firstLine="0"/>
              <w:jc w:val="left"/>
            </w:pPr>
            <w:r w:rsidRPr="009E0EBD">
              <w:rPr>
                <w:b/>
              </w:rPr>
              <w:t>III</w:t>
            </w:r>
            <w:r w:rsidR="00CB37E7" w:rsidRPr="009E0EBD">
              <w:rPr>
                <w:b/>
              </w:rPr>
              <w:t>A</w:t>
            </w:r>
            <w:r w:rsidRPr="009E0EBD">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E5FA3E7" w14:textId="77777777" w:rsidR="000E7702" w:rsidRPr="009E0EBD" w:rsidRDefault="00D52154">
            <w:pPr>
              <w:spacing w:after="0" w:line="259" w:lineRule="auto"/>
              <w:ind w:left="0" w:firstLine="0"/>
              <w:jc w:val="left"/>
            </w:pPr>
            <w:r w:rsidRPr="009E0EBD">
              <w:t xml:space="preserve">T1–3 </w:t>
            </w:r>
          </w:p>
        </w:tc>
        <w:tc>
          <w:tcPr>
            <w:tcW w:w="992" w:type="dxa"/>
            <w:tcBorders>
              <w:top w:val="single" w:sz="4" w:space="0" w:color="000000"/>
              <w:left w:val="single" w:sz="4" w:space="0" w:color="000000"/>
              <w:bottom w:val="single" w:sz="4" w:space="0" w:color="000000"/>
              <w:right w:val="single" w:sz="4" w:space="0" w:color="000000"/>
            </w:tcBorders>
          </w:tcPr>
          <w:p w14:paraId="261FAC96" w14:textId="77777777" w:rsidR="000E7702" w:rsidRPr="009E0EBD" w:rsidRDefault="00D52154">
            <w:pPr>
              <w:spacing w:after="0" w:line="259" w:lineRule="auto"/>
              <w:ind w:left="3" w:firstLine="0"/>
              <w:jc w:val="left"/>
            </w:pPr>
            <w:r w:rsidRPr="009E0EBD">
              <w:t xml:space="preserve">N1 </w:t>
            </w:r>
          </w:p>
        </w:tc>
        <w:tc>
          <w:tcPr>
            <w:tcW w:w="994" w:type="dxa"/>
            <w:tcBorders>
              <w:top w:val="single" w:sz="4" w:space="0" w:color="000000"/>
              <w:left w:val="single" w:sz="4" w:space="0" w:color="000000"/>
              <w:bottom w:val="single" w:sz="4" w:space="0" w:color="000000"/>
              <w:right w:val="single" w:sz="4" w:space="0" w:color="000000"/>
            </w:tcBorders>
          </w:tcPr>
          <w:p w14:paraId="282CBDE7" w14:textId="77777777" w:rsidR="000E7702" w:rsidRPr="009E0EBD" w:rsidRDefault="00D52154">
            <w:pPr>
              <w:spacing w:after="0" w:line="259" w:lineRule="auto"/>
              <w:ind w:left="2" w:firstLine="0"/>
              <w:jc w:val="left"/>
            </w:pPr>
            <w:r w:rsidRPr="009E0EBD">
              <w:t xml:space="preserve">M0 </w:t>
            </w:r>
          </w:p>
        </w:tc>
      </w:tr>
      <w:tr w:rsidR="000E7702" w:rsidRPr="009E0EBD" w14:paraId="33B0CA8D" w14:textId="77777777" w:rsidTr="001E05B1">
        <w:trPr>
          <w:trHeight w:val="422"/>
        </w:trPr>
        <w:tc>
          <w:tcPr>
            <w:tcW w:w="993" w:type="dxa"/>
            <w:tcBorders>
              <w:top w:val="single" w:sz="4" w:space="0" w:color="000000"/>
              <w:left w:val="single" w:sz="4" w:space="0" w:color="000000"/>
              <w:bottom w:val="single" w:sz="4" w:space="0" w:color="000000"/>
              <w:right w:val="single" w:sz="4" w:space="0" w:color="000000"/>
            </w:tcBorders>
          </w:tcPr>
          <w:p w14:paraId="17941F83" w14:textId="77777777" w:rsidR="000E7702" w:rsidRPr="009E0EBD" w:rsidRDefault="00D52154">
            <w:pPr>
              <w:spacing w:after="0" w:line="259" w:lineRule="auto"/>
              <w:ind w:left="0" w:firstLine="0"/>
              <w:jc w:val="left"/>
            </w:pPr>
            <w:r w:rsidRPr="009E0EBD">
              <w:rPr>
                <w:b/>
              </w:rPr>
              <w:t>III</w:t>
            </w:r>
            <w:r w:rsidR="00CB37E7" w:rsidRPr="009E0EBD">
              <w:rPr>
                <w:b/>
              </w:rPr>
              <w:t>B</w:t>
            </w:r>
            <w:r w:rsidRPr="009E0EBD">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889A362" w14:textId="77777777" w:rsidR="000E7702" w:rsidRPr="009E0EBD" w:rsidRDefault="00D52154">
            <w:pPr>
              <w:spacing w:after="0" w:line="259" w:lineRule="auto"/>
              <w:ind w:left="0" w:firstLine="0"/>
              <w:jc w:val="left"/>
            </w:pPr>
            <w:r w:rsidRPr="009E0EBD">
              <w:t xml:space="preserve">T1–3 </w:t>
            </w:r>
          </w:p>
        </w:tc>
        <w:tc>
          <w:tcPr>
            <w:tcW w:w="992" w:type="dxa"/>
            <w:tcBorders>
              <w:top w:val="single" w:sz="4" w:space="0" w:color="000000"/>
              <w:left w:val="single" w:sz="4" w:space="0" w:color="000000"/>
              <w:bottom w:val="single" w:sz="4" w:space="0" w:color="000000"/>
              <w:right w:val="single" w:sz="4" w:space="0" w:color="000000"/>
            </w:tcBorders>
          </w:tcPr>
          <w:p w14:paraId="434DA252" w14:textId="77777777" w:rsidR="000E7702" w:rsidRPr="009E0EBD" w:rsidRDefault="00D52154">
            <w:pPr>
              <w:spacing w:after="0" w:line="259" w:lineRule="auto"/>
              <w:ind w:left="3" w:firstLine="0"/>
              <w:jc w:val="left"/>
            </w:pPr>
            <w:r w:rsidRPr="009E0EBD">
              <w:t xml:space="preserve">N2 </w:t>
            </w:r>
          </w:p>
        </w:tc>
        <w:tc>
          <w:tcPr>
            <w:tcW w:w="994" w:type="dxa"/>
            <w:tcBorders>
              <w:top w:val="single" w:sz="4" w:space="0" w:color="000000"/>
              <w:left w:val="single" w:sz="4" w:space="0" w:color="000000"/>
              <w:bottom w:val="single" w:sz="4" w:space="0" w:color="000000"/>
              <w:right w:val="single" w:sz="4" w:space="0" w:color="000000"/>
            </w:tcBorders>
          </w:tcPr>
          <w:p w14:paraId="1458F4B7" w14:textId="77777777" w:rsidR="000E7702" w:rsidRPr="009E0EBD" w:rsidRDefault="00D52154">
            <w:pPr>
              <w:spacing w:after="0" w:line="259" w:lineRule="auto"/>
              <w:ind w:left="2" w:firstLine="0"/>
              <w:jc w:val="left"/>
            </w:pPr>
            <w:r w:rsidRPr="009E0EBD">
              <w:t xml:space="preserve">M0 </w:t>
            </w:r>
          </w:p>
        </w:tc>
      </w:tr>
      <w:tr w:rsidR="001E05B1" w:rsidRPr="009E0EBD" w14:paraId="28CC4CBD" w14:textId="77777777" w:rsidTr="005777C3">
        <w:trPr>
          <w:trHeight w:val="422"/>
        </w:trPr>
        <w:tc>
          <w:tcPr>
            <w:tcW w:w="993" w:type="dxa"/>
            <w:vMerge w:val="restart"/>
            <w:tcBorders>
              <w:top w:val="single" w:sz="4" w:space="0" w:color="000000"/>
              <w:left w:val="single" w:sz="4" w:space="0" w:color="000000"/>
              <w:right w:val="single" w:sz="4" w:space="0" w:color="000000"/>
            </w:tcBorders>
          </w:tcPr>
          <w:p w14:paraId="2057544C" w14:textId="77777777" w:rsidR="001E05B1" w:rsidRPr="009E0EBD" w:rsidRDefault="001E05B1">
            <w:pPr>
              <w:spacing w:after="0" w:line="259" w:lineRule="auto"/>
              <w:ind w:left="0" w:firstLine="0"/>
              <w:jc w:val="left"/>
            </w:pPr>
            <w:r w:rsidRPr="009E0EBD">
              <w:rPr>
                <w:b/>
              </w:rPr>
              <w:t xml:space="preserve">IV </w:t>
            </w:r>
          </w:p>
          <w:p w14:paraId="5149AF9D" w14:textId="77777777" w:rsidR="001E05B1" w:rsidRPr="009E0EBD" w:rsidRDefault="001E05B1">
            <w:pPr>
              <w:spacing w:after="0" w:line="259" w:lineRule="auto"/>
              <w:ind w:left="0" w:firstLine="0"/>
              <w:jc w:val="left"/>
            </w:pPr>
            <w:r w:rsidRPr="009E0EBD">
              <w:t xml:space="preserve"> </w:t>
            </w:r>
          </w:p>
          <w:p w14:paraId="12E3093B" w14:textId="77777777" w:rsidR="001E05B1" w:rsidRPr="009E0EBD" w:rsidRDefault="001E05B1" w:rsidP="005777C3">
            <w:pPr>
              <w:spacing w:after="0"/>
              <w:ind w:left="0"/>
              <w:jc w:val="left"/>
            </w:pPr>
            <w:r w:rsidRPr="009E0EBD">
              <w:t xml:space="preserve"> </w:t>
            </w:r>
          </w:p>
        </w:tc>
        <w:tc>
          <w:tcPr>
            <w:tcW w:w="991" w:type="dxa"/>
            <w:tcBorders>
              <w:top w:val="single" w:sz="4" w:space="0" w:color="000000"/>
              <w:left w:val="single" w:sz="4" w:space="0" w:color="000000"/>
              <w:bottom w:val="single" w:sz="4" w:space="0" w:color="000000"/>
              <w:right w:val="single" w:sz="4" w:space="0" w:color="000000"/>
            </w:tcBorders>
          </w:tcPr>
          <w:p w14:paraId="2AE5E531" w14:textId="77777777" w:rsidR="001E05B1" w:rsidRPr="009E0EBD" w:rsidRDefault="001E05B1">
            <w:pPr>
              <w:spacing w:after="0" w:line="259" w:lineRule="auto"/>
              <w:ind w:left="0" w:firstLine="0"/>
              <w:jc w:val="left"/>
            </w:pPr>
            <w:r w:rsidRPr="009E0EBD">
              <w:t xml:space="preserve">T4 </w:t>
            </w:r>
          </w:p>
        </w:tc>
        <w:tc>
          <w:tcPr>
            <w:tcW w:w="992" w:type="dxa"/>
            <w:tcBorders>
              <w:top w:val="single" w:sz="4" w:space="0" w:color="000000"/>
              <w:left w:val="single" w:sz="4" w:space="0" w:color="000000"/>
              <w:bottom w:val="single" w:sz="4" w:space="0" w:color="000000"/>
              <w:right w:val="single" w:sz="4" w:space="0" w:color="000000"/>
            </w:tcBorders>
          </w:tcPr>
          <w:p w14:paraId="50964A96" w14:textId="77777777" w:rsidR="001E05B1" w:rsidRPr="009E0EBD" w:rsidRDefault="001E05B1">
            <w:pPr>
              <w:spacing w:after="0" w:line="259" w:lineRule="auto"/>
              <w:ind w:left="3" w:firstLine="0"/>
              <w:jc w:val="left"/>
            </w:pPr>
            <w:r w:rsidRPr="009E0EBD">
              <w:t xml:space="preserve">Any N </w:t>
            </w:r>
          </w:p>
        </w:tc>
        <w:tc>
          <w:tcPr>
            <w:tcW w:w="994" w:type="dxa"/>
            <w:tcBorders>
              <w:top w:val="single" w:sz="4" w:space="0" w:color="000000"/>
              <w:left w:val="single" w:sz="4" w:space="0" w:color="000000"/>
              <w:bottom w:val="single" w:sz="4" w:space="0" w:color="000000"/>
              <w:right w:val="single" w:sz="4" w:space="0" w:color="000000"/>
            </w:tcBorders>
          </w:tcPr>
          <w:p w14:paraId="30B848C4" w14:textId="77777777" w:rsidR="001E05B1" w:rsidRPr="009E0EBD" w:rsidRDefault="001E05B1">
            <w:pPr>
              <w:spacing w:after="0" w:line="259" w:lineRule="auto"/>
              <w:ind w:left="2" w:firstLine="0"/>
              <w:jc w:val="left"/>
            </w:pPr>
            <w:r w:rsidRPr="009E0EBD">
              <w:t xml:space="preserve">M0 </w:t>
            </w:r>
          </w:p>
        </w:tc>
      </w:tr>
      <w:tr w:rsidR="001E05B1" w:rsidRPr="009E0EBD" w14:paraId="560F0C8B" w14:textId="77777777" w:rsidTr="005777C3">
        <w:trPr>
          <w:trHeight w:val="425"/>
        </w:trPr>
        <w:tc>
          <w:tcPr>
            <w:tcW w:w="993" w:type="dxa"/>
            <w:vMerge/>
            <w:tcBorders>
              <w:left w:val="single" w:sz="4" w:space="0" w:color="000000"/>
              <w:right w:val="single" w:sz="4" w:space="0" w:color="000000"/>
            </w:tcBorders>
          </w:tcPr>
          <w:p w14:paraId="40A8B7B7" w14:textId="77777777" w:rsidR="001E05B1" w:rsidRPr="009E0EBD" w:rsidRDefault="001E05B1" w:rsidP="005777C3">
            <w:pPr>
              <w:spacing w:after="0"/>
              <w:ind w:left="0"/>
              <w:jc w:val="left"/>
            </w:pPr>
          </w:p>
        </w:tc>
        <w:tc>
          <w:tcPr>
            <w:tcW w:w="991" w:type="dxa"/>
            <w:tcBorders>
              <w:top w:val="single" w:sz="4" w:space="0" w:color="000000"/>
              <w:left w:val="single" w:sz="4" w:space="0" w:color="000000"/>
              <w:bottom w:val="single" w:sz="4" w:space="0" w:color="000000"/>
              <w:right w:val="single" w:sz="4" w:space="0" w:color="000000"/>
            </w:tcBorders>
          </w:tcPr>
          <w:p w14:paraId="239CC525" w14:textId="77777777" w:rsidR="001E05B1" w:rsidRPr="009E0EBD" w:rsidRDefault="001E05B1">
            <w:pPr>
              <w:spacing w:after="0" w:line="259" w:lineRule="auto"/>
              <w:ind w:left="0" w:firstLine="0"/>
              <w:jc w:val="left"/>
            </w:pPr>
            <w:r w:rsidRPr="009E0EBD">
              <w:t xml:space="preserve">Any T </w:t>
            </w:r>
          </w:p>
        </w:tc>
        <w:tc>
          <w:tcPr>
            <w:tcW w:w="992" w:type="dxa"/>
            <w:tcBorders>
              <w:top w:val="single" w:sz="4" w:space="0" w:color="000000"/>
              <w:left w:val="single" w:sz="4" w:space="0" w:color="000000"/>
              <w:bottom w:val="single" w:sz="4" w:space="0" w:color="000000"/>
              <w:right w:val="single" w:sz="4" w:space="0" w:color="000000"/>
            </w:tcBorders>
          </w:tcPr>
          <w:p w14:paraId="5043D1DD" w14:textId="77777777" w:rsidR="001E05B1" w:rsidRPr="009E0EBD" w:rsidRDefault="001E05B1">
            <w:pPr>
              <w:spacing w:after="0" w:line="259" w:lineRule="auto"/>
              <w:ind w:left="3" w:firstLine="0"/>
              <w:jc w:val="left"/>
            </w:pPr>
            <w:r w:rsidRPr="009E0EBD">
              <w:t xml:space="preserve">N3 </w:t>
            </w:r>
          </w:p>
        </w:tc>
        <w:tc>
          <w:tcPr>
            <w:tcW w:w="994" w:type="dxa"/>
            <w:tcBorders>
              <w:top w:val="single" w:sz="4" w:space="0" w:color="000000"/>
              <w:left w:val="single" w:sz="4" w:space="0" w:color="000000"/>
              <w:bottom w:val="single" w:sz="4" w:space="0" w:color="000000"/>
              <w:right w:val="single" w:sz="4" w:space="0" w:color="000000"/>
            </w:tcBorders>
          </w:tcPr>
          <w:p w14:paraId="54D6F8AE" w14:textId="77777777" w:rsidR="001E05B1" w:rsidRPr="009E0EBD" w:rsidRDefault="001E05B1">
            <w:pPr>
              <w:spacing w:after="0" w:line="259" w:lineRule="auto"/>
              <w:ind w:left="2" w:firstLine="0"/>
              <w:jc w:val="left"/>
            </w:pPr>
            <w:r w:rsidRPr="009E0EBD">
              <w:t xml:space="preserve">M0 </w:t>
            </w:r>
          </w:p>
        </w:tc>
      </w:tr>
      <w:tr w:rsidR="001E05B1" w:rsidRPr="009E0EBD" w14:paraId="14C150B0" w14:textId="77777777" w:rsidTr="005777C3">
        <w:trPr>
          <w:trHeight w:val="422"/>
        </w:trPr>
        <w:tc>
          <w:tcPr>
            <w:tcW w:w="993" w:type="dxa"/>
            <w:vMerge/>
            <w:tcBorders>
              <w:left w:val="single" w:sz="4" w:space="0" w:color="000000"/>
              <w:bottom w:val="single" w:sz="4" w:space="0" w:color="000000"/>
              <w:right w:val="single" w:sz="4" w:space="0" w:color="000000"/>
            </w:tcBorders>
          </w:tcPr>
          <w:p w14:paraId="1A610877" w14:textId="77777777" w:rsidR="001E05B1" w:rsidRPr="009E0EBD" w:rsidRDefault="001E05B1">
            <w:pPr>
              <w:spacing w:after="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178E7A26" w14:textId="77777777" w:rsidR="001E05B1" w:rsidRPr="009E0EBD" w:rsidRDefault="001E05B1">
            <w:pPr>
              <w:spacing w:after="0" w:line="259" w:lineRule="auto"/>
              <w:ind w:left="0" w:firstLine="0"/>
              <w:jc w:val="left"/>
            </w:pPr>
            <w:r w:rsidRPr="009E0EBD">
              <w:t xml:space="preserve">Any T </w:t>
            </w:r>
          </w:p>
        </w:tc>
        <w:tc>
          <w:tcPr>
            <w:tcW w:w="992" w:type="dxa"/>
            <w:tcBorders>
              <w:top w:val="single" w:sz="4" w:space="0" w:color="000000"/>
              <w:left w:val="single" w:sz="4" w:space="0" w:color="000000"/>
              <w:bottom w:val="single" w:sz="4" w:space="0" w:color="000000"/>
              <w:right w:val="single" w:sz="4" w:space="0" w:color="000000"/>
            </w:tcBorders>
          </w:tcPr>
          <w:p w14:paraId="4FF0D121" w14:textId="77777777" w:rsidR="001E05B1" w:rsidRPr="009E0EBD" w:rsidRDefault="001E05B1">
            <w:pPr>
              <w:spacing w:after="0" w:line="259" w:lineRule="auto"/>
              <w:ind w:left="3" w:firstLine="0"/>
              <w:jc w:val="left"/>
            </w:pPr>
            <w:r w:rsidRPr="009E0EBD">
              <w:t xml:space="preserve">Any N </w:t>
            </w:r>
          </w:p>
        </w:tc>
        <w:tc>
          <w:tcPr>
            <w:tcW w:w="994" w:type="dxa"/>
            <w:tcBorders>
              <w:top w:val="single" w:sz="4" w:space="0" w:color="000000"/>
              <w:left w:val="single" w:sz="4" w:space="0" w:color="000000"/>
              <w:bottom w:val="single" w:sz="4" w:space="0" w:color="000000"/>
              <w:right w:val="single" w:sz="4" w:space="0" w:color="000000"/>
            </w:tcBorders>
          </w:tcPr>
          <w:p w14:paraId="6493CA35" w14:textId="77777777" w:rsidR="001E05B1" w:rsidRPr="009E0EBD" w:rsidRDefault="001E05B1">
            <w:pPr>
              <w:spacing w:after="0" w:line="259" w:lineRule="auto"/>
              <w:ind w:left="2" w:firstLine="0"/>
              <w:jc w:val="left"/>
            </w:pPr>
            <w:r w:rsidRPr="009E0EBD">
              <w:t xml:space="preserve">M1 </w:t>
            </w:r>
          </w:p>
        </w:tc>
      </w:tr>
    </w:tbl>
    <w:p w14:paraId="574125F6" w14:textId="77777777" w:rsidR="000E7702" w:rsidRDefault="00D52154">
      <w:pPr>
        <w:spacing w:after="0" w:line="259" w:lineRule="auto"/>
        <w:ind w:left="0" w:firstLine="0"/>
        <w:jc w:val="left"/>
        <w:rPr>
          <w:b/>
        </w:rPr>
      </w:pPr>
      <w:r w:rsidRPr="009E0EBD">
        <w:rPr>
          <w:b/>
        </w:rPr>
        <w:t xml:space="preserve"> </w:t>
      </w:r>
    </w:p>
    <w:p w14:paraId="795A26C8" w14:textId="77777777" w:rsidR="00E07FA7" w:rsidRDefault="00E07FA7" w:rsidP="00E07FA7">
      <w:pPr>
        <w:pStyle w:val="Heading3"/>
        <w:ind w:left="0" w:firstLine="0"/>
        <w:rPr>
          <w:b w:val="0"/>
          <w:sz w:val="22"/>
        </w:rPr>
      </w:pPr>
    </w:p>
    <w:p w14:paraId="128EAD63" w14:textId="77777777" w:rsidR="000E7702" w:rsidRPr="001E05B1" w:rsidRDefault="00D52154" w:rsidP="00E07FA7">
      <w:pPr>
        <w:pStyle w:val="Heading3"/>
        <w:ind w:left="0" w:firstLine="0"/>
        <w:rPr>
          <w:szCs w:val="24"/>
        </w:rPr>
      </w:pPr>
      <w:r w:rsidRPr="001E05B1">
        <w:rPr>
          <w:szCs w:val="24"/>
        </w:rPr>
        <w:t xml:space="preserve">Tumours of the distal urethra </w:t>
      </w:r>
    </w:p>
    <w:p w14:paraId="069E63A5" w14:textId="77777777" w:rsidR="000E7702" w:rsidRPr="009E0EBD" w:rsidRDefault="00D52154">
      <w:pPr>
        <w:spacing w:after="0" w:line="259" w:lineRule="auto"/>
        <w:ind w:left="0" w:firstLine="0"/>
        <w:jc w:val="left"/>
      </w:pPr>
      <w:r w:rsidRPr="009E0EBD">
        <w:t xml:space="preserve"> </w:t>
      </w:r>
    </w:p>
    <w:p w14:paraId="056158A8" w14:textId="77777777" w:rsidR="000E7702" w:rsidRPr="009E0EBD" w:rsidRDefault="00D52154">
      <w:pPr>
        <w:ind w:right="7"/>
      </w:pPr>
      <w:r w:rsidRPr="009E0EBD">
        <w:t xml:space="preserve">It should be noted that the N categories differ considerably between urethral and penile tumours and </w:t>
      </w:r>
      <w:proofErr w:type="spellStart"/>
      <w:r w:rsidRPr="009E0EBD">
        <w:t>extranodal</w:t>
      </w:r>
      <w:proofErr w:type="spellEnd"/>
      <w:r w:rsidRPr="009E0EBD">
        <w:t xml:space="preserve"> spread is not a feature of the urethral N staging (i.e. there is no N3 category). </w:t>
      </w:r>
    </w:p>
    <w:p w14:paraId="6E7A591F" w14:textId="77777777" w:rsidR="001631E7" w:rsidRPr="00E07FA7" w:rsidRDefault="001631E7" w:rsidP="001631E7">
      <w:pPr>
        <w:pStyle w:val="Heading4"/>
        <w:ind w:left="-5"/>
      </w:pPr>
      <w:r w:rsidRPr="009E0EBD">
        <w:t xml:space="preserve">Primary tumour (T) </w:t>
      </w:r>
    </w:p>
    <w:p w14:paraId="66B9F00C" w14:textId="77777777" w:rsidR="001631E7" w:rsidRDefault="001631E7" w:rsidP="001631E7">
      <w:pPr>
        <w:pStyle w:val="Heading4"/>
        <w:ind w:left="-5"/>
      </w:pPr>
    </w:p>
    <w:p w14:paraId="063AEAE2" w14:textId="77777777" w:rsidR="000E7702" w:rsidRPr="001E05B1" w:rsidRDefault="00F430B4" w:rsidP="001E05B1">
      <w:pPr>
        <w:pStyle w:val="Heading4"/>
        <w:ind w:left="-5"/>
        <w:rPr>
          <w:b w:val="0"/>
          <w:u w:val="single"/>
        </w:rPr>
      </w:pPr>
      <w:r w:rsidRPr="001E05B1">
        <w:rPr>
          <w:b w:val="0"/>
          <w:u w:val="single"/>
        </w:rPr>
        <w:t>Urethra</w:t>
      </w:r>
      <w:r w:rsidR="00D52154" w:rsidRPr="001E05B1">
        <w:rPr>
          <w:b w:val="0"/>
          <w:u w:val="single"/>
        </w:rPr>
        <w:t xml:space="preserve"> (male</w:t>
      </w:r>
      <w:r w:rsidRPr="001E05B1">
        <w:rPr>
          <w:b w:val="0"/>
          <w:u w:val="single"/>
        </w:rPr>
        <w:t xml:space="preserve"> and female</w:t>
      </w:r>
      <w:r w:rsidR="00D52154" w:rsidRPr="001E05B1">
        <w:rPr>
          <w:b w:val="0"/>
          <w:u w:val="single"/>
        </w:rPr>
        <w:t xml:space="preserve">) </w:t>
      </w:r>
    </w:p>
    <w:p w14:paraId="1D519082" w14:textId="77777777" w:rsidR="00E07FA7" w:rsidRPr="009E0EBD" w:rsidRDefault="00E07FA7" w:rsidP="00E07FA7">
      <w:pPr>
        <w:spacing w:after="120" w:line="240" w:lineRule="auto"/>
        <w:ind w:left="992" w:hanging="992"/>
        <w:jc w:val="left"/>
      </w:pPr>
      <w:r w:rsidRPr="009E0EBD">
        <w:t xml:space="preserve">TX </w:t>
      </w:r>
      <w:r w:rsidRPr="009E0EBD">
        <w:tab/>
        <w:t>Pr</w:t>
      </w:r>
      <w:r>
        <w:t>imary tumour cannot be assessed</w:t>
      </w:r>
    </w:p>
    <w:p w14:paraId="5D218BBD" w14:textId="77777777" w:rsidR="00E07FA7" w:rsidRPr="009E0EBD" w:rsidRDefault="00E07FA7" w:rsidP="00E07FA7">
      <w:pPr>
        <w:spacing w:after="120" w:line="240" w:lineRule="auto"/>
        <w:ind w:left="992" w:hanging="992"/>
        <w:jc w:val="left"/>
      </w:pPr>
      <w:r w:rsidRPr="009E0EBD">
        <w:t xml:space="preserve">T0 </w:t>
      </w:r>
      <w:r w:rsidRPr="009E0EBD">
        <w:tab/>
      </w:r>
      <w:r>
        <w:t>No evidence of primary tumour</w:t>
      </w:r>
    </w:p>
    <w:p w14:paraId="6AFABA8F" w14:textId="77777777" w:rsidR="00E07FA7" w:rsidRPr="009E0EBD" w:rsidRDefault="00E07FA7" w:rsidP="00E07FA7">
      <w:pPr>
        <w:spacing w:after="120" w:line="240" w:lineRule="auto"/>
        <w:ind w:left="992" w:hanging="992"/>
        <w:jc w:val="left"/>
      </w:pPr>
      <w:r w:rsidRPr="009E0EBD">
        <w:t xml:space="preserve">Ta* </w:t>
      </w:r>
      <w:r w:rsidRPr="009E0EBD">
        <w:tab/>
        <w:t>Non-invasive papillary, p</w:t>
      </w:r>
      <w:r>
        <w:t>olypoid or verrucous carcinoma</w:t>
      </w:r>
      <w:r w:rsidRPr="009E0EBD">
        <w:t xml:space="preserve">* </w:t>
      </w:r>
    </w:p>
    <w:p w14:paraId="2FD3E52E" w14:textId="77777777" w:rsidR="00E07FA7" w:rsidRPr="009E0EBD" w:rsidRDefault="00E07FA7" w:rsidP="00E07FA7">
      <w:pPr>
        <w:spacing w:after="120" w:line="240" w:lineRule="auto"/>
        <w:ind w:left="992" w:hanging="992"/>
        <w:jc w:val="left"/>
      </w:pPr>
      <w:r w:rsidRPr="009E0EBD">
        <w:t xml:space="preserve">Tis </w:t>
      </w:r>
      <w:r w:rsidRPr="009E0EBD">
        <w:tab/>
        <w:t xml:space="preserve">Carcinoma </w:t>
      </w:r>
      <w:r w:rsidRPr="00E07FA7">
        <w:t>in situ</w:t>
      </w:r>
      <w:r w:rsidRPr="009E0EBD">
        <w:t xml:space="preserve"> (</w:t>
      </w:r>
      <w:proofErr w:type="spellStart"/>
      <w:r w:rsidRPr="009E0EBD">
        <w:t>PeIN</w:t>
      </w:r>
      <w:proofErr w:type="spellEnd"/>
      <w:r w:rsidRPr="009E0EBD">
        <w:t xml:space="preserve">)** or urothelial carcinoma </w:t>
      </w:r>
      <w:r>
        <w:t>in situ</w:t>
      </w:r>
    </w:p>
    <w:p w14:paraId="6F0BD878" w14:textId="77777777" w:rsidR="00E07FA7" w:rsidRPr="009E0EBD" w:rsidRDefault="00E07FA7" w:rsidP="00E07FA7">
      <w:pPr>
        <w:spacing w:after="120" w:line="240" w:lineRule="auto"/>
        <w:ind w:left="992" w:hanging="992"/>
        <w:jc w:val="left"/>
      </w:pPr>
      <w:r w:rsidRPr="009E0EBD">
        <w:t xml:space="preserve">T1 </w:t>
      </w:r>
      <w:r w:rsidRPr="009E0EBD">
        <w:tab/>
        <w:t xml:space="preserve">Tumour invades </w:t>
      </w:r>
      <w:proofErr w:type="spellStart"/>
      <w:r w:rsidRPr="009E0EBD">
        <w:t>s</w:t>
      </w:r>
      <w:r>
        <w:t>ubepithelial</w:t>
      </w:r>
      <w:proofErr w:type="spellEnd"/>
      <w:r>
        <w:t xml:space="preserve"> connective tissue</w:t>
      </w:r>
    </w:p>
    <w:p w14:paraId="347C6DBA" w14:textId="77777777" w:rsidR="00E07FA7" w:rsidRPr="009E0EBD" w:rsidRDefault="00E07FA7" w:rsidP="00E07FA7">
      <w:pPr>
        <w:spacing w:after="120" w:line="240" w:lineRule="auto"/>
        <w:ind w:left="992" w:hanging="992"/>
        <w:jc w:val="left"/>
      </w:pPr>
      <w:r w:rsidRPr="009E0EBD">
        <w:t xml:space="preserve">T2 </w:t>
      </w:r>
      <w:r w:rsidRPr="009E0EBD">
        <w:tab/>
        <w:t xml:space="preserve">Tumour invades any of the following: corpus </w:t>
      </w:r>
      <w:proofErr w:type="spellStart"/>
      <w:r w:rsidRPr="009E0EBD">
        <w:t>spongiosum</w:t>
      </w:r>
      <w:proofErr w:type="spellEnd"/>
      <w:r w:rsidRPr="009E0EBD">
        <w:t>,</w:t>
      </w:r>
      <w:r w:rsidR="001E05B1">
        <w:t xml:space="preserve"> prostate or</w:t>
      </w:r>
      <w:r>
        <w:t xml:space="preserve"> </w:t>
      </w:r>
      <w:proofErr w:type="spellStart"/>
      <w:r>
        <w:t>periurethral</w:t>
      </w:r>
      <w:proofErr w:type="spellEnd"/>
      <w:r>
        <w:t xml:space="preserve"> muscle</w:t>
      </w:r>
    </w:p>
    <w:p w14:paraId="248A5569" w14:textId="77777777" w:rsidR="00E07FA7" w:rsidRPr="009E0EBD" w:rsidRDefault="00E07FA7" w:rsidP="00E07FA7">
      <w:pPr>
        <w:spacing w:after="120" w:line="240" w:lineRule="auto"/>
        <w:ind w:left="992" w:hanging="992"/>
        <w:jc w:val="left"/>
      </w:pPr>
      <w:r w:rsidRPr="009E0EBD">
        <w:t xml:space="preserve">T3 </w:t>
      </w:r>
      <w:r w:rsidRPr="009E0EBD">
        <w:tab/>
        <w:t xml:space="preserve">Tumour invades any of the following: corpus </w:t>
      </w:r>
      <w:proofErr w:type="spellStart"/>
      <w:r w:rsidRPr="009E0EBD">
        <w:t>cavernosum</w:t>
      </w:r>
      <w:proofErr w:type="spellEnd"/>
      <w:r w:rsidRPr="009E0EBD">
        <w:t>, beyond pros</w:t>
      </w:r>
      <w:r w:rsidR="001E05B1">
        <w:t xml:space="preserve">tatic capsule, anterior vagina or </w:t>
      </w:r>
      <w:r w:rsidRPr="009E0EBD">
        <w:t>bladder neck (</w:t>
      </w:r>
      <w:proofErr w:type="spellStart"/>
      <w:r w:rsidRPr="009E0EBD">
        <w:t>extraprostatic</w:t>
      </w:r>
      <w:proofErr w:type="spellEnd"/>
      <w:r w:rsidRPr="009E0EBD">
        <w:t xml:space="preserve"> extension)</w:t>
      </w:r>
    </w:p>
    <w:p w14:paraId="69FB52A4" w14:textId="77777777" w:rsidR="00E07FA7" w:rsidRDefault="00E07FA7" w:rsidP="00E07FA7">
      <w:pPr>
        <w:spacing w:after="120" w:line="240" w:lineRule="auto"/>
        <w:ind w:left="992" w:hanging="992"/>
        <w:jc w:val="left"/>
      </w:pPr>
      <w:r w:rsidRPr="009E0EBD">
        <w:t xml:space="preserve">T4 </w:t>
      </w:r>
      <w:r>
        <w:tab/>
      </w:r>
      <w:r w:rsidRPr="009E0EBD">
        <w:t>Tumour invades other adjacent or</w:t>
      </w:r>
      <w:r w:rsidR="001E05B1">
        <w:t>gans (invasion of the bladder)</w:t>
      </w:r>
    </w:p>
    <w:p w14:paraId="699E51F1" w14:textId="77777777" w:rsidR="00E07FA7" w:rsidRPr="009E0EBD" w:rsidRDefault="00E07FA7" w:rsidP="00E07FA7">
      <w:pPr>
        <w:spacing w:after="0" w:line="240" w:lineRule="auto"/>
        <w:ind w:left="992" w:hanging="992"/>
        <w:jc w:val="left"/>
      </w:pPr>
    </w:p>
    <w:p w14:paraId="79BA67C2" w14:textId="77777777" w:rsidR="00E07FA7" w:rsidRPr="009E0EBD" w:rsidRDefault="001E05B1" w:rsidP="001631E7">
      <w:pPr>
        <w:spacing w:after="120" w:line="240" w:lineRule="auto"/>
        <w:ind w:left="0" w:firstLine="0"/>
      </w:pPr>
      <w:r>
        <w:t>*</w:t>
      </w:r>
      <w:r w:rsidR="00E07FA7" w:rsidRPr="009E0EBD">
        <w:t>The dataset authors’ view is that the use of this category for verru</w:t>
      </w:r>
      <w:r w:rsidR="001631E7">
        <w:t>cous carcinoma is to be avoided</w:t>
      </w:r>
      <w:r>
        <w:t xml:space="preserve"> </w:t>
      </w:r>
      <w:r w:rsidR="00E07FA7" w:rsidRPr="009E0EBD">
        <w:t xml:space="preserve">as it is not evidence based. This category includes non-invasive urothelial carcinomas but these are very rare in the distal urethra. </w:t>
      </w:r>
    </w:p>
    <w:p w14:paraId="7F2B7C2D" w14:textId="77777777" w:rsidR="00E07FA7" w:rsidRPr="009E0EBD" w:rsidRDefault="001E05B1" w:rsidP="001631E7">
      <w:pPr>
        <w:spacing w:after="120" w:line="240" w:lineRule="auto"/>
        <w:ind w:left="0" w:firstLine="0"/>
      </w:pPr>
      <w:r>
        <w:t>**</w:t>
      </w:r>
      <w:r w:rsidR="00E07FA7" w:rsidRPr="009E0EBD">
        <w:t>The dataset authors recommend the use of the same terminology (</w:t>
      </w:r>
      <w:proofErr w:type="spellStart"/>
      <w:r w:rsidR="00E07FA7" w:rsidRPr="009E0EBD">
        <w:t>PeIN</w:t>
      </w:r>
      <w:proofErr w:type="spellEnd"/>
      <w:r w:rsidR="00E07FA7" w:rsidRPr="009E0EBD">
        <w:t xml:space="preserve">) for squamous precancerous lesions of the distal urethra as in the penis. </w:t>
      </w:r>
    </w:p>
    <w:p w14:paraId="23F8D2A3" w14:textId="77777777" w:rsidR="000E7702" w:rsidRDefault="000E7702">
      <w:pPr>
        <w:spacing w:after="0" w:line="259" w:lineRule="auto"/>
        <w:ind w:left="0" w:firstLine="0"/>
        <w:jc w:val="left"/>
      </w:pPr>
    </w:p>
    <w:p w14:paraId="1BB58345" w14:textId="77777777" w:rsidR="00E07FA7" w:rsidRPr="009E0EBD" w:rsidRDefault="00E07FA7">
      <w:pPr>
        <w:spacing w:after="0" w:line="259" w:lineRule="auto"/>
        <w:ind w:left="0" w:firstLine="0"/>
        <w:jc w:val="left"/>
      </w:pPr>
    </w:p>
    <w:p w14:paraId="1D79AF8E" w14:textId="77777777" w:rsidR="000E7702" w:rsidRPr="009E0EBD" w:rsidRDefault="00D52154">
      <w:pPr>
        <w:pStyle w:val="Heading4"/>
        <w:ind w:left="-5"/>
      </w:pPr>
      <w:r w:rsidRPr="009E0EBD">
        <w:t xml:space="preserve">Regional lymph nodes </w:t>
      </w:r>
      <w:r w:rsidR="00E07FA7">
        <w:t>(N)</w:t>
      </w:r>
    </w:p>
    <w:p w14:paraId="6050AAFB" w14:textId="77777777" w:rsidR="000E7702" w:rsidRPr="009E0EBD" w:rsidRDefault="00D52154">
      <w:pPr>
        <w:spacing w:after="0" w:line="259" w:lineRule="auto"/>
        <w:ind w:left="0" w:firstLine="0"/>
        <w:jc w:val="left"/>
      </w:pPr>
      <w:r w:rsidRPr="009E0EBD">
        <w:rPr>
          <w:b/>
        </w:rPr>
        <w:t xml:space="preserve"> </w:t>
      </w:r>
    </w:p>
    <w:p w14:paraId="11BC5B91" w14:textId="77777777" w:rsidR="000E7702" w:rsidRPr="009E0EBD" w:rsidRDefault="00D52154" w:rsidP="00E07FA7">
      <w:pPr>
        <w:tabs>
          <w:tab w:val="center" w:pos="2836"/>
        </w:tabs>
        <w:spacing w:after="120" w:line="240" w:lineRule="auto"/>
        <w:ind w:left="992" w:hanging="992"/>
        <w:jc w:val="left"/>
      </w:pPr>
      <w:r w:rsidRPr="009E0EBD">
        <w:t xml:space="preserve">NX </w:t>
      </w:r>
      <w:r w:rsidRPr="009E0EBD">
        <w:tab/>
        <w:t xml:space="preserve">Regional </w:t>
      </w:r>
      <w:r w:rsidR="00E07FA7">
        <w:t>lymph nodes cannot be assessed</w:t>
      </w:r>
    </w:p>
    <w:p w14:paraId="0211913D" w14:textId="77777777" w:rsidR="000E7702" w:rsidRPr="009E0EBD" w:rsidRDefault="00D52154" w:rsidP="00E07FA7">
      <w:pPr>
        <w:tabs>
          <w:tab w:val="center" w:pos="2458"/>
        </w:tabs>
        <w:spacing w:after="120" w:line="240" w:lineRule="auto"/>
        <w:ind w:left="992" w:hanging="992"/>
        <w:jc w:val="left"/>
      </w:pPr>
      <w:r w:rsidRPr="009E0EBD">
        <w:t xml:space="preserve">N0 </w:t>
      </w:r>
      <w:r w:rsidRPr="009E0EBD">
        <w:tab/>
        <w:t xml:space="preserve">No </w:t>
      </w:r>
      <w:r w:rsidR="00E07FA7">
        <w:t>regional lymph node metastasis</w:t>
      </w:r>
    </w:p>
    <w:p w14:paraId="65128E97" w14:textId="77777777" w:rsidR="00747880" w:rsidRDefault="00D52154" w:rsidP="00747880">
      <w:pPr>
        <w:tabs>
          <w:tab w:val="center" w:pos="4878"/>
        </w:tabs>
        <w:spacing w:after="120" w:line="240" w:lineRule="auto"/>
        <w:ind w:left="992" w:hanging="992"/>
        <w:jc w:val="left"/>
      </w:pPr>
      <w:r w:rsidRPr="009E0EBD">
        <w:t xml:space="preserve">N1 </w:t>
      </w:r>
      <w:r w:rsidRPr="009E0EBD">
        <w:tab/>
      </w:r>
      <w:r w:rsidR="00747880" w:rsidRPr="00747880">
        <w:t>Single regional lymph node metastasis in the inguinal region or true pelvis [</w:t>
      </w:r>
      <w:proofErr w:type="spellStart"/>
      <w:r w:rsidR="00747880" w:rsidRPr="00747880">
        <w:t>perivesical</w:t>
      </w:r>
      <w:proofErr w:type="spellEnd"/>
      <w:r w:rsidR="00747880" w:rsidRPr="00747880">
        <w:t xml:space="preserve">, obturator, internal (hypogastric) and external iliac], or </w:t>
      </w:r>
      <w:proofErr w:type="spellStart"/>
      <w:r w:rsidR="00747880" w:rsidRPr="00747880">
        <w:t>presacral</w:t>
      </w:r>
      <w:proofErr w:type="spellEnd"/>
      <w:r w:rsidR="00747880" w:rsidRPr="00747880">
        <w:t xml:space="preserve"> lymph node</w:t>
      </w:r>
    </w:p>
    <w:p w14:paraId="73C57631" w14:textId="7C7C5F12" w:rsidR="000E7702" w:rsidRPr="009E0EBD" w:rsidRDefault="00D52154" w:rsidP="00747880">
      <w:pPr>
        <w:tabs>
          <w:tab w:val="center" w:pos="4878"/>
        </w:tabs>
        <w:spacing w:after="120" w:line="240" w:lineRule="auto"/>
        <w:ind w:left="992" w:hanging="992"/>
        <w:jc w:val="left"/>
      </w:pPr>
      <w:r w:rsidRPr="009E0EBD">
        <w:t xml:space="preserve">N2 </w:t>
      </w:r>
      <w:r w:rsidRPr="009E0EBD">
        <w:tab/>
      </w:r>
      <w:r w:rsidR="00747880" w:rsidRPr="00747880">
        <w:t>Multiple regional lymph node metastasis in the inguinal region or true pelvis [</w:t>
      </w:r>
      <w:proofErr w:type="spellStart"/>
      <w:r w:rsidR="00747880" w:rsidRPr="00747880">
        <w:t>perivesical</w:t>
      </w:r>
      <w:proofErr w:type="spellEnd"/>
      <w:r w:rsidR="00747880" w:rsidRPr="00747880">
        <w:t xml:space="preserve">, obturator, internal (hypogastric) and external iliac], or </w:t>
      </w:r>
      <w:proofErr w:type="spellStart"/>
      <w:r w:rsidR="00747880" w:rsidRPr="00747880">
        <w:t>presacral</w:t>
      </w:r>
      <w:proofErr w:type="spellEnd"/>
      <w:r w:rsidR="00747880" w:rsidRPr="00747880">
        <w:t xml:space="preserve"> lymph node</w:t>
      </w:r>
    </w:p>
    <w:p w14:paraId="795432B4" w14:textId="77777777" w:rsidR="000E7702" w:rsidRDefault="00D52154">
      <w:pPr>
        <w:spacing w:after="0" w:line="259" w:lineRule="auto"/>
        <w:ind w:left="0" w:firstLine="0"/>
        <w:jc w:val="left"/>
      </w:pPr>
      <w:r w:rsidRPr="009E0EBD">
        <w:t xml:space="preserve"> </w:t>
      </w:r>
    </w:p>
    <w:p w14:paraId="6B019275" w14:textId="14637C73" w:rsidR="000E7702" w:rsidRDefault="000E7702">
      <w:pPr>
        <w:spacing w:after="0" w:line="259" w:lineRule="auto"/>
        <w:ind w:left="0" w:firstLine="0"/>
        <w:jc w:val="left"/>
      </w:pPr>
    </w:p>
    <w:p w14:paraId="365C825F" w14:textId="77777777" w:rsidR="000E7702" w:rsidRPr="009E0EBD" w:rsidRDefault="00D52154">
      <w:pPr>
        <w:pStyle w:val="Heading4"/>
        <w:ind w:left="-5"/>
      </w:pPr>
      <w:r w:rsidRPr="009E0EBD">
        <w:t xml:space="preserve">Distant metastasis </w:t>
      </w:r>
      <w:r w:rsidR="00E07FA7">
        <w:t>(M)</w:t>
      </w:r>
    </w:p>
    <w:p w14:paraId="160257B2" w14:textId="77777777" w:rsidR="000E7702" w:rsidRPr="009E0EBD" w:rsidRDefault="00D52154">
      <w:pPr>
        <w:spacing w:after="0" w:line="259" w:lineRule="auto"/>
        <w:ind w:left="0" w:firstLine="0"/>
        <w:jc w:val="left"/>
      </w:pPr>
      <w:r w:rsidRPr="009E0EBD">
        <w:t xml:space="preserve"> </w:t>
      </w:r>
    </w:p>
    <w:p w14:paraId="72EB11B1" w14:textId="77777777" w:rsidR="000E7702" w:rsidRPr="009E0EBD" w:rsidRDefault="00D52154" w:rsidP="00E07FA7">
      <w:pPr>
        <w:spacing w:after="120" w:line="240" w:lineRule="auto"/>
        <w:ind w:left="992" w:hanging="992"/>
        <w:jc w:val="left"/>
      </w:pPr>
      <w:r w:rsidRPr="009E0EBD">
        <w:t xml:space="preserve">M0 </w:t>
      </w:r>
      <w:r w:rsidRPr="009E0EBD">
        <w:tab/>
        <w:t xml:space="preserve">No distant metastasis* </w:t>
      </w:r>
    </w:p>
    <w:p w14:paraId="3F129ED3" w14:textId="77777777" w:rsidR="000E7702" w:rsidRPr="009E0EBD" w:rsidRDefault="00E07FA7" w:rsidP="00E07FA7">
      <w:pPr>
        <w:tabs>
          <w:tab w:val="center" w:pos="1637"/>
        </w:tabs>
        <w:spacing w:after="120" w:line="240" w:lineRule="auto"/>
        <w:ind w:left="992" w:hanging="992"/>
        <w:jc w:val="left"/>
      </w:pPr>
      <w:r>
        <w:t xml:space="preserve">M1 </w:t>
      </w:r>
      <w:r>
        <w:tab/>
        <w:t>Distant metastasis</w:t>
      </w:r>
    </w:p>
    <w:p w14:paraId="4863D14E" w14:textId="77777777" w:rsidR="000E7702" w:rsidRPr="009E0EBD" w:rsidRDefault="00D52154" w:rsidP="00E07FA7">
      <w:pPr>
        <w:spacing w:after="0" w:line="240" w:lineRule="auto"/>
        <w:ind w:left="851" w:firstLine="0"/>
        <w:jc w:val="left"/>
      </w:pPr>
      <w:r w:rsidRPr="009E0EBD">
        <w:t xml:space="preserve"> </w:t>
      </w:r>
    </w:p>
    <w:p w14:paraId="38617035" w14:textId="77777777" w:rsidR="000E7702" w:rsidRPr="009E0EBD" w:rsidRDefault="001E05B1">
      <w:pPr>
        <w:ind w:right="7"/>
      </w:pPr>
      <w:r>
        <w:t>*</w:t>
      </w:r>
      <w:r w:rsidR="00D52154" w:rsidRPr="009E0EBD">
        <w:t xml:space="preserve">This is a clinical category, not to be used in pathological reporting. </w:t>
      </w:r>
    </w:p>
    <w:p w14:paraId="572A5FF6" w14:textId="77777777" w:rsidR="00747880" w:rsidRDefault="00747880">
      <w:pPr>
        <w:ind w:right="7"/>
      </w:pPr>
    </w:p>
    <w:p w14:paraId="2FE73465" w14:textId="77777777" w:rsidR="00EB3A7E" w:rsidRDefault="00EB3A7E">
      <w:pPr>
        <w:ind w:right="7"/>
      </w:pPr>
    </w:p>
    <w:p w14:paraId="53D1C196" w14:textId="77777777" w:rsidR="00EB3A7E" w:rsidRDefault="00EB3A7E">
      <w:pPr>
        <w:ind w:right="7"/>
      </w:pPr>
    </w:p>
    <w:p w14:paraId="30FC687E" w14:textId="77777777" w:rsidR="00EB3A7E" w:rsidRDefault="00EB3A7E">
      <w:pPr>
        <w:ind w:right="7"/>
      </w:pPr>
    </w:p>
    <w:p w14:paraId="5E416ACF" w14:textId="77777777" w:rsidR="00EB3A7E" w:rsidRDefault="00EB3A7E">
      <w:pPr>
        <w:ind w:right="7"/>
      </w:pPr>
    </w:p>
    <w:p w14:paraId="0EAB7A84" w14:textId="77777777" w:rsidR="00EB3A7E" w:rsidRDefault="00EB3A7E">
      <w:pPr>
        <w:ind w:right="7"/>
      </w:pPr>
    </w:p>
    <w:p w14:paraId="6387E255" w14:textId="77777777" w:rsidR="00EB3A7E" w:rsidRDefault="00EB3A7E">
      <w:pPr>
        <w:ind w:right="7"/>
      </w:pPr>
    </w:p>
    <w:p w14:paraId="6F02C28C" w14:textId="77777777" w:rsidR="00EB3A7E" w:rsidRDefault="00EB3A7E">
      <w:pPr>
        <w:ind w:right="7"/>
      </w:pPr>
    </w:p>
    <w:p w14:paraId="57EE75BC" w14:textId="77777777" w:rsidR="00EB3A7E" w:rsidRDefault="00EB3A7E">
      <w:pPr>
        <w:ind w:right="7"/>
      </w:pPr>
    </w:p>
    <w:p w14:paraId="0FB03677" w14:textId="77777777" w:rsidR="00747880" w:rsidRPr="009E0EBD" w:rsidRDefault="00747880">
      <w:pPr>
        <w:ind w:right="7"/>
      </w:pPr>
    </w:p>
    <w:p w14:paraId="388D949F" w14:textId="77777777" w:rsidR="00F430B4" w:rsidRPr="009E0EBD" w:rsidRDefault="00F430B4" w:rsidP="00F430B4">
      <w:pPr>
        <w:pStyle w:val="Heading4"/>
        <w:ind w:left="-5"/>
      </w:pPr>
      <w:r w:rsidRPr="009E0EBD">
        <w:t xml:space="preserve">Anatomic stage/prognostic groups </w:t>
      </w:r>
    </w:p>
    <w:p w14:paraId="2A8B781F" w14:textId="77777777" w:rsidR="00F430B4" w:rsidRPr="009E0EBD" w:rsidRDefault="00F430B4" w:rsidP="00F430B4">
      <w:pPr>
        <w:spacing w:after="0" w:line="259" w:lineRule="auto"/>
        <w:ind w:left="0" w:firstLine="0"/>
        <w:jc w:val="left"/>
      </w:pPr>
      <w:r w:rsidRPr="009E0EBD">
        <w:t xml:space="preserve"> </w:t>
      </w:r>
    </w:p>
    <w:tbl>
      <w:tblPr>
        <w:tblStyle w:val="TableGrid"/>
        <w:tblW w:w="3970" w:type="dxa"/>
        <w:tblInd w:w="113" w:type="dxa"/>
        <w:tblCellMar>
          <w:top w:w="88" w:type="dxa"/>
          <w:left w:w="108" w:type="dxa"/>
          <w:right w:w="115" w:type="dxa"/>
        </w:tblCellMar>
        <w:tblLook w:val="04A0" w:firstRow="1" w:lastRow="0" w:firstColumn="1" w:lastColumn="0" w:noHBand="0" w:noVBand="1"/>
      </w:tblPr>
      <w:tblGrid>
        <w:gridCol w:w="993"/>
        <w:gridCol w:w="991"/>
        <w:gridCol w:w="992"/>
        <w:gridCol w:w="994"/>
      </w:tblGrid>
      <w:tr w:rsidR="00F430B4" w:rsidRPr="009E0EBD" w14:paraId="1350D54F" w14:textId="77777777" w:rsidTr="00E75A6B">
        <w:trPr>
          <w:trHeight w:val="422"/>
        </w:trPr>
        <w:tc>
          <w:tcPr>
            <w:tcW w:w="993" w:type="dxa"/>
            <w:tcBorders>
              <w:top w:val="single" w:sz="4" w:space="0" w:color="000000"/>
              <w:left w:val="single" w:sz="4" w:space="0" w:color="000000"/>
              <w:bottom w:val="single" w:sz="4" w:space="0" w:color="000000"/>
              <w:right w:val="single" w:sz="4" w:space="0" w:color="000000"/>
            </w:tcBorders>
          </w:tcPr>
          <w:p w14:paraId="438C075E" w14:textId="77777777" w:rsidR="00F430B4" w:rsidRPr="009E0EBD" w:rsidRDefault="00F430B4" w:rsidP="000203CA">
            <w:pPr>
              <w:spacing w:after="0" w:line="259" w:lineRule="auto"/>
              <w:ind w:left="0" w:firstLine="0"/>
              <w:jc w:val="left"/>
            </w:pPr>
            <w:r w:rsidRPr="009E0EBD">
              <w:rPr>
                <w:b/>
              </w:rPr>
              <w:t xml:space="preserve">Stage </w:t>
            </w:r>
          </w:p>
        </w:tc>
        <w:tc>
          <w:tcPr>
            <w:tcW w:w="991" w:type="dxa"/>
            <w:tcBorders>
              <w:top w:val="single" w:sz="4" w:space="0" w:color="000000"/>
              <w:left w:val="single" w:sz="4" w:space="0" w:color="000000"/>
              <w:bottom w:val="single" w:sz="4" w:space="0" w:color="000000"/>
              <w:right w:val="single" w:sz="4" w:space="0" w:color="000000"/>
            </w:tcBorders>
          </w:tcPr>
          <w:p w14:paraId="6E036D46" w14:textId="77777777" w:rsidR="00F430B4" w:rsidRPr="009E0EBD" w:rsidRDefault="00F430B4" w:rsidP="000203CA">
            <w:pPr>
              <w:spacing w:after="0" w:line="259" w:lineRule="auto"/>
              <w:ind w:left="0" w:firstLine="0"/>
              <w:jc w:val="left"/>
            </w:pPr>
            <w:r w:rsidRPr="009E0EBD">
              <w:rPr>
                <w:b/>
              </w:rPr>
              <w:t xml:space="preserve">T </w:t>
            </w:r>
          </w:p>
        </w:tc>
        <w:tc>
          <w:tcPr>
            <w:tcW w:w="992" w:type="dxa"/>
            <w:tcBorders>
              <w:top w:val="single" w:sz="4" w:space="0" w:color="000000"/>
              <w:left w:val="single" w:sz="4" w:space="0" w:color="000000"/>
              <w:bottom w:val="single" w:sz="4" w:space="0" w:color="000000"/>
              <w:right w:val="single" w:sz="4" w:space="0" w:color="000000"/>
            </w:tcBorders>
          </w:tcPr>
          <w:p w14:paraId="14840540" w14:textId="77777777" w:rsidR="00F430B4" w:rsidRPr="009E0EBD" w:rsidRDefault="00F430B4" w:rsidP="000203CA">
            <w:pPr>
              <w:spacing w:after="0" w:line="259" w:lineRule="auto"/>
              <w:ind w:left="3" w:firstLine="0"/>
              <w:jc w:val="left"/>
            </w:pPr>
            <w:r w:rsidRPr="009E0EBD">
              <w:rPr>
                <w:b/>
              </w:rPr>
              <w:t xml:space="preserve">N </w:t>
            </w:r>
          </w:p>
        </w:tc>
        <w:tc>
          <w:tcPr>
            <w:tcW w:w="994" w:type="dxa"/>
            <w:tcBorders>
              <w:top w:val="single" w:sz="4" w:space="0" w:color="000000"/>
              <w:left w:val="single" w:sz="4" w:space="0" w:color="000000"/>
              <w:bottom w:val="single" w:sz="4" w:space="0" w:color="000000"/>
              <w:right w:val="single" w:sz="4" w:space="0" w:color="000000"/>
            </w:tcBorders>
          </w:tcPr>
          <w:p w14:paraId="27CA349B" w14:textId="77777777" w:rsidR="00F430B4" w:rsidRPr="009E0EBD" w:rsidRDefault="00F430B4" w:rsidP="000203CA">
            <w:pPr>
              <w:spacing w:after="0" w:line="259" w:lineRule="auto"/>
              <w:ind w:left="2" w:firstLine="0"/>
              <w:jc w:val="left"/>
            </w:pPr>
            <w:r w:rsidRPr="009E0EBD">
              <w:rPr>
                <w:b/>
              </w:rPr>
              <w:t xml:space="preserve">M </w:t>
            </w:r>
          </w:p>
        </w:tc>
      </w:tr>
      <w:tr w:rsidR="001E05B1" w:rsidRPr="009E0EBD" w14:paraId="7B671C21" w14:textId="77777777" w:rsidTr="00E75A6B">
        <w:trPr>
          <w:trHeight w:val="422"/>
        </w:trPr>
        <w:tc>
          <w:tcPr>
            <w:tcW w:w="993" w:type="dxa"/>
            <w:vMerge w:val="restart"/>
            <w:tcBorders>
              <w:top w:val="single" w:sz="4" w:space="0" w:color="000000"/>
              <w:left w:val="single" w:sz="4" w:space="0" w:color="000000"/>
              <w:right w:val="single" w:sz="4" w:space="0" w:color="000000"/>
            </w:tcBorders>
          </w:tcPr>
          <w:p w14:paraId="1F13F79E" w14:textId="77777777" w:rsidR="001E05B1" w:rsidRPr="009E0EBD" w:rsidRDefault="001E05B1" w:rsidP="000203CA">
            <w:pPr>
              <w:spacing w:after="0" w:line="259" w:lineRule="auto"/>
              <w:ind w:left="0" w:firstLine="0"/>
              <w:jc w:val="left"/>
            </w:pPr>
            <w:r w:rsidRPr="009E0EBD">
              <w:rPr>
                <w:b/>
              </w:rPr>
              <w:t xml:space="preserve">0 </w:t>
            </w:r>
          </w:p>
          <w:p w14:paraId="5C0F198D" w14:textId="77777777" w:rsidR="001E05B1" w:rsidRPr="009E0EBD" w:rsidRDefault="001E05B1" w:rsidP="000203CA">
            <w:pPr>
              <w:spacing w:after="0"/>
              <w:ind w:left="0"/>
              <w:jc w:val="left"/>
            </w:pPr>
            <w:r w:rsidRPr="009E0EBD">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A54160E" w14:textId="77777777" w:rsidR="001E05B1" w:rsidRPr="009E0EBD" w:rsidRDefault="001E05B1" w:rsidP="000203CA">
            <w:pPr>
              <w:spacing w:after="0" w:line="259" w:lineRule="auto"/>
              <w:ind w:left="0" w:firstLine="0"/>
              <w:jc w:val="left"/>
            </w:pPr>
            <w:r w:rsidRPr="009E0EBD">
              <w:t xml:space="preserve">Tis </w:t>
            </w:r>
          </w:p>
        </w:tc>
        <w:tc>
          <w:tcPr>
            <w:tcW w:w="992" w:type="dxa"/>
            <w:tcBorders>
              <w:top w:val="single" w:sz="4" w:space="0" w:color="000000"/>
              <w:left w:val="single" w:sz="4" w:space="0" w:color="000000"/>
              <w:bottom w:val="single" w:sz="4" w:space="0" w:color="000000"/>
              <w:right w:val="single" w:sz="4" w:space="0" w:color="000000"/>
            </w:tcBorders>
          </w:tcPr>
          <w:p w14:paraId="16DEFD24" w14:textId="77777777" w:rsidR="001E05B1" w:rsidRPr="009E0EBD" w:rsidRDefault="001E05B1" w:rsidP="000203CA">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03A210B2" w14:textId="77777777" w:rsidR="001E05B1" w:rsidRPr="009E0EBD" w:rsidRDefault="001E05B1" w:rsidP="000203CA">
            <w:pPr>
              <w:spacing w:after="0" w:line="259" w:lineRule="auto"/>
              <w:ind w:left="2" w:firstLine="0"/>
              <w:jc w:val="left"/>
            </w:pPr>
            <w:r w:rsidRPr="009E0EBD">
              <w:t xml:space="preserve">M0 </w:t>
            </w:r>
          </w:p>
        </w:tc>
      </w:tr>
      <w:tr w:rsidR="001E05B1" w:rsidRPr="009E0EBD" w14:paraId="405A7E84" w14:textId="77777777" w:rsidTr="00E75A6B">
        <w:trPr>
          <w:trHeight w:val="425"/>
        </w:trPr>
        <w:tc>
          <w:tcPr>
            <w:tcW w:w="993" w:type="dxa"/>
            <w:vMerge/>
            <w:tcBorders>
              <w:left w:val="single" w:sz="4" w:space="0" w:color="000000"/>
              <w:bottom w:val="single" w:sz="4" w:space="0" w:color="000000"/>
              <w:right w:val="single" w:sz="4" w:space="0" w:color="000000"/>
            </w:tcBorders>
          </w:tcPr>
          <w:p w14:paraId="3DAF2948" w14:textId="77777777" w:rsidR="001E05B1" w:rsidRPr="009E0EBD" w:rsidRDefault="001E05B1" w:rsidP="000203CA">
            <w:pPr>
              <w:spacing w:after="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03CF7C69" w14:textId="77777777" w:rsidR="001E05B1" w:rsidRPr="009E0EBD" w:rsidRDefault="001E05B1" w:rsidP="000203CA">
            <w:pPr>
              <w:spacing w:after="0" w:line="259" w:lineRule="auto"/>
              <w:ind w:left="0" w:firstLine="0"/>
              <w:jc w:val="left"/>
            </w:pPr>
            <w:r w:rsidRPr="009E0EBD">
              <w:t xml:space="preserve">Ta </w:t>
            </w:r>
          </w:p>
        </w:tc>
        <w:tc>
          <w:tcPr>
            <w:tcW w:w="992" w:type="dxa"/>
            <w:tcBorders>
              <w:top w:val="single" w:sz="4" w:space="0" w:color="000000"/>
              <w:left w:val="single" w:sz="4" w:space="0" w:color="000000"/>
              <w:bottom w:val="single" w:sz="4" w:space="0" w:color="000000"/>
              <w:right w:val="single" w:sz="4" w:space="0" w:color="000000"/>
            </w:tcBorders>
          </w:tcPr>
          <w:p w14:paraId="49E48609" w14:textId="77777777" w:rsidR="001E05B1" w:rsidRPr="009E0EBD" w:rsidRDefault="001E05B1" w:rsidP="000203CA">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5EF6E275" w14:textId="77777777" w:rsidR="001E05B1" w:rsidRPr="009E0EBD" w:rsidRDefault="001E05B1" w:rsidP="000203CA">
            <w:pPr>
              <w:spacing w:after="0" w:line="259" w:lineRule="auto"/>
              <w:ind w:left="2" w:firstLine="0"/>
              <w:jc w:val="left"/>
            </w:pPr>
            <w:r w:rsidRPr="009E0EBD">
              <w:t xml:space="preserve">M0 </w:t>
            </w:r>
          </w:p>
        </w:tc>
      </w:tr>
      <w:tr w:rsidR="00F430B4" w:rsidRPr="009E0EBD" w14:paraId="73D746C2" w14:textId="77777777" w:rsidTr="00E75A6B">
        <w:trPr>
          <w:trHeight w:val="422"/>
        </w:trPr>
        <w:tc>
          <w:tcPr>
            <w:tcW w:w="993" w:type="dxa"/>
            <w:tcBorders>
              <w:top w:val="single" w:sz="4" w:space="0" w:color="000000"/>
              <w:left w:val="single" w:sz="4" w:space="0" w:color="000000"/>
              <w:bottom w:val="single" w:sz="4" w:space="0" w:color="000000"/>
              <w:right w:val="single" w:sz="4" w:space="0" w:color="000000"/>
            </w:tcBorders>
          </w:tcPr>
          <w:p w14:paraId="6AB469E3" w14:textId="77777777" w:rsidR="00F430B4" w:rsidRPr="009E0EBD" w:rsidRDefault="00F430B4" w:rsidP="000203CA">
            <w:pPr>
              <w:spacing w:after="0" w:line="259" w:lineRule="auto"/>
              <w:ind w:left="0" w:firstLine="0"/>
              <w:jc w:val="left"/>
            </w:pPr>
            <w:r w:rsidRPr="009E0EBD">
              <w:rPr>
                <w:b/>
              </w:rPr>
              <w:t xml:space="preserve">I </w:t>
            </w:r>
          </w:p>
        </w:tc>
        <w:tc>
          <w:tcPr>
            <w:tcW w:w="991" w:type="dxa"/>
            <w:tcBorders>
              <w:top w:val="single" w:sz="4" w:space="0" w:color="000000"/>
              <w:left w:val="single" w:sz="4" w:space="0" w:color="000000"/>
              <w:bottom w:val="single" w:sz="4" w:space="0" w:color="000000"/>
              <w:right w:val="single" w:sz="4" w:space="0" w:color="000000"/>
            </w:tcBorders>
          </w:tcPr>
          <w:p w14:paraId="264F24CC" w14:textId="77777777" w:rsidR="00F430B4" w:rsidRPr="009E0EBD" w:rsidRDefault="00F430B4" w:rsidP="000203CA">
            <w:pPr>
              <w:spacing w:after="0" w:line="259" w:lineRule="auto"/>
              <w:ind w:left="0" w:firstLine="0"/>
              <w:jc w:val="left"/>
            </w:pPr>
            <w:r w:rsidRPr="009E0EBD">
              <w:t>T1</w:t>
            </w:r>
          </w:p>
        </w:tc>
        <w:tc>
          <w:tcPr>
            <w:tcW w:w="992" w:type="dxa"/>
            <w:tcBorders>
              <w:top w:val="single" w:sz="4" w:space="0" w:color="000000"/>
              <w:left w:val="single" w:sz="4" w:space="0" w:color="000000"/>
              <w:bottom w:val="single" w:sz="4" w:space="0" w:color="000000"/>
              <w:right w:val="single" w:sz="4" w:space="0" w:color="000000"/>
            </w:tcBorders>
          </w:tcPr>
          <w:p w14:paraId="45437F33" w14:textId="77777777" w:rsidR="00F430B4" w:rsidRPr="009E0EBD" w:rsidRDefault="00F430B4" w:rsidP="000203CA">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4973A03E" w14:textId="77777777" w:rsidR="00F430B4" w:rsidRPr="009E0EBD" w:rsidRDefault="00F430B4" w:rsidP="000203CA">
            <w:pPr>
              <w:spacing w:after="0" w:line="259" w:lineRule="auto"/>
              <w:ind w:left="2" w:firstLine="0"/>
              <w:jc w:val="left"/>
            </w:pPr>
            <w:r w:rsidRPr="009E0EBD">
              <w:t xml:space="preserve">M0 </w:t>
            </w:r>
          </w:p>
        </w:tc>
      </w:tr>
      <w:tr w:rsidR="00F430B4" w:rsidRPr="009E0EBD" w14:paraId="59718883" w14:textId="77777777" w:rsidTr="00E75A6B">
        <w:trPr>
          <w:trHeight w:val="422"/>
        </w:trPr>
        <w:tc>
          <w:tcPr>
            <w:tcW w:w="993" w:type="dxa"/>
            <w:tcBorders>
              <w:top w:val="single" w:sz="4" w:space="0" w:color="000000"/>
              <w:left w:val="single" w:sz="4" w:space="0" w:color="000000"/>
              <w:bottom w:val="single" w:sz="4" w:space="0" w:color="000000"/>
              <w:right w:val="single" w:sz="4" w:space="0" w:color="000000"/>
            </w:tcBorders>
          </w:tcPr>
          <w:p w14:paraId="24C27152" w14:textId="77777777" w:rsidR="00F430B4" w:rsidRPr="009E0EBD" w:rsidRDefault="00F430B4" w:rsidP="000203CA">
            <w:pPr>
              <w:spacing w:after="0" w:line="259" w:lineRule="auto"/>
              <w:ind w:left="0" w:firstLine="0"/>
              <w:jc w:val="left"/>
            </w:pPr>
            <w:r w:rsidRPr="009E0EBD">
              <w:rPr>
                <w:b/>
              </w:rPr>
              <w:t>II</w:t>
            </w:r>
          </w:p>
        </w:tc>
        <w:tc>
          <w:tcPr>
            <w:tcW w:w="991" w:type="dxa"/>
            <w:tcBorders>
              <w:top w:val="single" w:sz="4" w:space="0" w:color="000000"/>
              <w:left w:val="single" w:sz="4" w:space="0" w:color="000000"/>
              <w:bottom w:val="single" w:sz="4" w:space="0" w:color="000000"/>
              <w:right w:val="single" w:sz="4" w:space="0" w:color="000000"/>
            </w:tcBorders>
          </w:tcPr>
          <w:p w14:paraId="52821F8B" w14:textId="77777777" w:rsidR="00F430B4" w:rsidRPr="009E0EBD" w:rsidRDefault="00F430B4" w:rsidP="000203CA">
            <w:pPr>
              <w:spacing w:after="0" w:line="259" w:lineRule="auto"/>
              <w:ind w:left="0" w:firstLine="0"/>
              <w:jc w:val="left"/>
            </w:pPr>
            <w:r w:rsidRPr="009E0EBD">
              <w:t xml:space="preserve">T2 </w:t>
            </w:r>
          </w:p>
        </w:tc>
        <w:tc>
          <w:tcPr>
            <w:tcW w:w="992" w:type="dxa"/>
            <w:tcBorders>
              <w:top w:val="single" w:sz="4" w:space="0" w:color="000000"/>
              <w:left w:val="single" w:sz="4" w:space="0" w:color="000000"/>
              <w:bottom w:val="single" w:sz="4" w:space="0" w:color="000000"/>
              <w:right w:val="single" w:sz="4" w:space="0" w:color="000000"/>
            </w:tcBorders>
          </w:tcPr>
          <w:p w14:paraId="6500FFA5" w14:textId="77777777" w:rsidR="00F430B4" w:rsidRPr="009E0EBD" w:rsidRDefault="00F430B4" w:rsidP="000203CA">
            <w:pPr>
              <w:spacing w:after="0" w:line="259" w:lineRule="auto"/>
              <w:ind w:left="3" w:firstLine="0"/>
              <w:jc w:val="left"/>
            </w:pPr>
            <w:r w:rsidRPr="009E0EBD">
              <w:t xml:space="preserve">N0 </w:t>
            </w:r>
          </w:p>
        </w:tc>
        <w:tc>
          <w:tcPr>
            <w:tcW w:w="994" w:type="dxa"/>
            <w:tcBorders>
              <w:top w:val="single" w:sz="4" w:space="0" w:color="000000"/>
              <w:left w:val="single" w:sz="4" w:space="0" w:color="000000"/>
              <w:bottom w:val="single" w:sz="4" w:space="0" w:color="000000"/>
              <w:right w:val="single" w:sz="4" w:space="0" w:color="000000"/>
            </w:tcBorders>
          </w:tcPr>
          <w:p w14:paraId="725C4936" w14:textId="77777777" w:rsidR="00F430B4" w:rsidRPr="009E0EBD" w:rsidRDefault="00F430B4" w:rsidP="000203CA">
            <w:pPr>
              <w:spacing w:after="0" w:line="259" w:lineRule="auto"/>
              <w:ind w:left="2" w:firstLine="0"/>
              <w:jc w:val="left"/>
            </w:pPr>
            <w:r w:rsidRPr="009E0EBD">
              <w:t xml:space="preserve">M0 </w:t>
            </w:r>
          </w:p>
        </w:tc>
      </w:tr>
      <w:tr w:rsidR="001E05B1" w:rsidRPr="009E0EBD" w14:paraId="3BBC5BB4" w14:textId="77777777" w:rsidTr="00E75A6B">
        <w:trPr>
          <w:trHeight w:val="423"/>
        </w:trPr>
        <w:tc>
          <w:tcPr>
            <w:tcW w:w="993" w:type="dxa"/>
            <w:vMerge w:val="restart"/>
            <w:tcBorders>
              <w:top w:val="single" w:sz="4" w:space="0" w:color="000000"/>
              <w:left w:val="single" w:sz="4" w:space="0" w:color="000000"/>
              <w:right w:val="single" w:sz="4" w:space="0" w:color="000000"/>
            </w:tcBorders>
          </w:tcPr>
          <w:p w14:paraId="738EF901" w14:textId="77777777" w:rsidR="001E05B1" w:rsidRPr="009E0EBD" w:rsidRDefault="001E05B1" w:rsidP="000203CA">
            <w:pPr>
              <w:spacing w:after="0" w:line="259" w:lineRule="auto"/>
              <w:ind w:left="0" w:firstLine="0"/>
              <w:jc w:val="left"/>
            </w:pPr>
            <w:r w:rsidRPr="009E0EBD">
              <w:rPr>
                <w:b/>
              </w:rPr>
              <w:t>III</w:t>
            </w:r>
          </w:p>
        </w:tc>
        <w:tc>
          <w:tcPr>
            <w:tcW w:w="991" w:type="dxa"/>
            <w:tcBorders>
              <w:top w:val="single" w:sz="4" w:space="0" w:color="000000"/>
              <w:left w:val="single" w:sz="4" w:space="0" w:color="000000"/>
              <w:bottom w:val="single" w:sz="4" w:space="0" w:color="000000"/>
              <w:right w:val="single" w:sz="4" w:space="0" w:color="000000"/>
            </w:tcBorders>
          </w:tcPr>
          <w:p w14:paraId="4EF39F63" w14:textId="77777777" w:rsidR="001E05B1" w:rsidRPr="009E0EBD" w:rsidRDefault="001E05B1" w:rsidP="000203CA">
            <w:pPr>
              <w:spacing w:after="0" w:line="259" w:lineRule="auto"/>
              <w:ind w:left="0" w:firstLine="0"/>
              <w:jc w:val="left"/>
            </w:pPr>
            <w:r w:rsidRPr="009E0EBD">
              <w:t xml:space="preserve">T1, T2 </w:t>
            </w:r>
          </w:p>
        </w:tc>
        <w:tc>
          <w:tcPr>
            <w:tcW w:w="992" w:type="dxa"/>
            <w:tcBorders>
              <w:top w:val="single" w:sz="4" w:space="0" w:color="000000"/>
              <w:left w:val="single" w:sz="4" w:space="0" w:color="000000"/>
              <w:bottom w:val="single" w:sz="4" w:space="0" w:color="000000"/>
              <w:right w:val="single" w:sz="4" w:space="0" w:color="000000"/>
            </w:tcBorders>
          </w:tcPr>
          <w:p w14:paraId="733674E6" w14:textId="77777777" w:rsidR="001E05B1" w:rsidRPr="009E0EBD" w:rsidRDefault="001E05B1" w:rsidP="000203CA">
            <w:pPr>
              <w:spacing w:after="0" w:line="259" w:lineRule="auto"/>
              <w:ind w:left="3" w:firstLine="0"/>
              <w:jc w:val="left"/>
            </w:pPr>
            <w:r w:rsidRPr="009E0EBD">
              <w:t>N1</w:t>
            </w:r>
          </w:p>
        </w:tc>
        <w:tc>
          <w:tcPr>
            <w:tcW w:w="994" w:type="dxa"/>
            <w:tcBorders>
              <w:top w:val="single" w:sz="4" w:space="0" w:color="000000"/>
              <w:left w:val="single" w:sz="4" w:space="0" w:color="000000"/>
              <w:bottom w:val="single" w:sz="4" w:space="0" w:color="000000"/>
              <w:right w:val="single" w:sz="4" w:space="0" w:color="000000"/>
            </w:tcBorders>
          </w:tcPr>
          <w:p w14:paraId="0B2F96E4" w14:textId="77777777" w:rsidR="001E05B1" w:rsidRPr="009E0EBD" w:rsidRDefault="001E05B1" w:rsidP="000203CA">
            <w:pPr>
              <w:spacing w:after="0" w:line="259" w:lineRule="auto"/>
              <w:ind w:left="2" w:firstLine="0"/>
              <w:jc w:val="left"/>
            </w:pPr>
            <w:r w:rsidRPr="009E0EBD">
              <w:t xml:space="preserve">M0 </w:t>
            </w:r>
          </w:p>
        </w:tc>
      </w:tr>
      <w:tr w:rsidR="001E05B1" w:rsidRPr="009E0EBD" w14:paraId="465899F7" w14:textId="77777777" w:rsidTr="00E75A6B">
        <w:trPr>
          <w:trHeight w:val="425"/>
        </w:trPr>
        <w:tc>
          <w:tcPr>
            <w:tcW w:w="993" w:type="dxa"/>
            <w:vMerge/>
            <w:tcBorders>
              <w:left w:val="single" w:sz="4" w:space="0" w:color="000000"/>
              <w:bottom w:val="single" w:sz="4" w:space="0" w:color="000000"/>
              <w:right w:val="single" w:sz="4" w:space="0" w:color="000000"/>
            </w:tcBorders>
          </w:tcPr>
          <w:p w14:paraId="4416EF0B" w14:textId="77777777" w:rsidR="001E05B1" w:rsidRPr="009E0EBD" w:rsidRDefault="001E05B1" w:rsidP="000203CA">
            <w:pPr>
              <w:spacing w:after="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3EDD4CFE" w14:textId="77777777" w:rsidR="001E05B1" w:rsidRPr="009E0EBD" w:rsidRDefault="001E05B1" w:rsidP="000203CA">
            <w:pPr>
              <w:spacing w:after="0" w:line="259" w:lineRule="auto"/>
              <w:ind w:left="0" w:firstLine="0"/>
              <w:jc w:val="left"/>
            </w:pPr>
            <w:r w:rsidRPr="009E0EBD">
              <w:t xml:space="preserve">T3 </w:t>
            </w:r>
          </w:p>
        </w:tc>
        <w:tc>
          <w:tcPr>
            <w:tcW w:w="992" w:type="dxa"/>
            <w:tcBorders>
              <w:top w:val="single" w:sz="4" w:space="0" w:color="000000"/>
              <w:left w:val="single" w:sz="4" w:space="0" w:color="000000"/>
              <w:bottom w:val="single" w:sz="4" w:space="0" w:color="000000"/>
              <w:right w:val="single" w:sz="4" w:space="0" w:color="000000"/>
            </w:tcBorders>
          </w:tcPr>
          <w:p w14:paraId="4ADF7780" w14:textId="77777777" w:rsidR="001E05B1" w:rsidRPr="009E0EBD" w:rsidRDefault="001E05B1" w:rsidP="000203CA">
            <w:pPr>
              <w:spacing w:after="0" w:line="259" w:lineRule="auto"/>
              <w:ind w:left="3" w:firstLine="0"/>
              <w:jc w:val="left"/>
            </w:pPr>
            <w:r w:rsidRPr="009E0EBD">
              <w:t xml:space="preserve">N0, N1 </w:t>
            </w:r>
          </w:p>
        </w:tc>
        <w:tc>
          <w:tcPr>
            <w:tcW w:w="994" w:type="dxa"/>
            <w:tcBorders>
              <w:top w:val="single" w:sz="4" w:space="0" w:color="000000"/>
              <w:left w:val="single" w:sz="4" w:space="0" w:color="000000"/>
              <w:bottom w:val="single" w:sz="4" w:space="0" w:color="000000"/>
              <w:right w:val="single" w:sz="4" w:space="0" w:color="000000"/>
            </w:tcBorders>
          </w:tcPr>
          <w:p w14:paraId="79F8516C" w14:textId="77777777" w:rsidR="001E05B1" w:rsidRPr="009E0EBD" w:rsidRDefault="001E05B1" w:rsidP="000203CA">
            <w:pPr>
              <w:spacing w:after="0" w:line="259" w:lineRule="auto"/>
              <w:ind w:left="2" w:firstLine="0"/>
              <w:jc w:val="left"/>
            </w:pPr>
            <w:r w:rsidRPr="009E0EBD">
              <w:t xml:space="preserve">M0 </w:t>
            </w:r>
          </w:p>
        </w:tc>
      </w:tr>
      <w:tr w:rsidR="001E05B1" w:rsidRPr="009E0EBD" w14:paraId="689FC870" w14:textId="77777777" w:rsidTr="00E75A6B">
        <w:trPr>
          <w:trHeight w:val="422"/>
        </w:trPr>
        <w:tc>
          <w:tcPr>
            <w:tcW w:w="993" w:type="dxa"/>
            <w:vMerge w:val="restart"/>
            <w:tcBorders>
              <w:top w:val="single" w:sz="4" w:space="0" w:color="000000"/>
              <w:left w:val="single" w:sz="4" w:space="0" w:color="000000"/>
              <w:right w:val="single" w:sz="4" w:space="0" w:color="000000"/>
            </w:tcBorders>
          </w:tcPr>
          <w:p w14:paraId="50176AC7" w14:textId="77777777" w:rsidR="001E05B1" w:rsidRPr="009E0EBD" w:rsidRDefault="001E05B1" w:rsidP="000203CA">
            <w:pPr>
              <w:spacing w:after="0" w:line="259" w:lineRule="auto"/>
              <w:ind w:left="0" w:firstLine="0"/>
              <w:jc w:val="left"/>
            </w:pPr>
            <w:r w:rsidRPr="009E0EBD">
              <w:rPr>
                <w:b/>
              </w:rPr>
              <w:t>IV</w:t>
            </w:r>
          </w:p>
          <w:p w14:paraId="2D682A2A" w14:textId="77777777" w:rsidR="001E05B1" w:rsidRPr="009E0EBD" w:rsidRDefault="001E05B1" w:rsidP="000203CA">
            <w:pPr>
              <w:spacing w:after="0" w:line="259" w:lineRule="auto"/>
              <w:ind w:left="0" w:firstLine="0"/>
              <w:jc w:val="left"/>
            </w:pPr>
            <w:r w:rsidRPr="009E0EBD">
              <w:t xml:space="preserve"> </w:t>
            </w:r>
          </w:p>
          <w:p w14:paraId="102646E2" w14:textId="77777777" w:rsidR="001E05B1" w:rsidRPr="009E0EBD" w:rsidRDefault="001E05B1" w:rsidP="000203CA">
            <w:pPr>
              <w:spacing w:after="0"/>
              <w:ind w:left="0"/>
              <w:jc w:val="left"/>
            </w:pPr>
            <w:r w:rsidRPr="009E0EBD">
              <w:t xml:space="preserve"> </w:t>
            </w:r>
          </w:p>
        </w:tc>
        <w:tc>
          <w:tcPr>
            <w:tcW w:w="991" w:type="dxa"/>
            <w:tcBorders>
              <w:top w:val="single" w:sz="4" w:space="0" w:color="000000"/>
              <w:left w:val="single" w:sz="4" w:space="0" w:color="000000"/>
              <w:bottom w:val="single" w:sz="4" w:space="0" w:color="000000"/>
              <w:right w:val="single" w:sz="4" w:space="0" w:color="000000"/>
            </w:tcBorders>
          </w:tcPr>
          <w:p w14:paraId="2779F35E" w14:textId="77777777" w:rsidR="001E05B1" w:rsidRPr="009E0EBD" w:rsidRDefault="001E05B1" w:rsidP="000203CA">
            <w:pPr>
              <w:spacing w:after="0" w:line="259" w:lineRule="auto"/>
              <w:ind w:left="0" w:firstLine="0"/>
              <w:jc w:val="left"/>
            </w:pPr>
            <w:r w:rsidRPr="009E0EBD">
              <w:t>T4</w:t>
            </w:r>
          </w:p>
        </w:tc>
        <w:tc>
          <w:tcPr>
            <w:tcW w:w="992" w:type="dxa"/>
            <w:tcBorders>
              <w:top w:val="single" w:sz="4" w:space="0" w:color="000000"/>
              <w:left w:val="single" w:sz="4" w:space="0" w:color="000000"/>
              <w:bottom w:val="single" w:sz="4" w:space="0" w:color="000000"/>
              <w:right w:val="single" w:sz="4" w:space="0" w:color="000000"/>
            </w:tcBorders>
          </w:tcPr>
          <w:p w14:paraId="0C7A1785" w14:textId="77777777" w:rsidR="001E05B1" w:rsidRPr="009E0EBD" w:rsidRDefault="001E05B1" w:rsidP="000203CA">
            <w:pPr>
              <w:spacing w:after="0" w:line="259" w:lineRule="auto"/>
              <w:ind w:left="3" w:firstLine="0"/>
              <w:jc w:val="left"/>
            </w:pPr>
            <w:r w:rsidRPr="009E0EBD">
              <w:t>N0, N1</w:t>
            </w:r>
          </w:p>
        </w:tc>
        <w:tc>
          <w:tcPr>
            <w:tcW w:w="994" w:type="dxa"/>
            <w:tcBorders>
              <w:top w:val="single" w:sz="4" w:space="0" w:color="000000"/>
              <w:left w:val="single" w:sz="4" w:space="0" w:color="000000"/>
              <w:bottom w:val="single" w:sz="4" w:space="0" w:color="000000"/>
              <w:right w:val="single" w:sz="4" w:space="0" w:color="000000"/>
            </w:tcBorders>
          </w:tcPr>
          <w:p w14:paraId="42E50FE6" w14:textId="77777777" w:rsidR="001E05B1" w:rsidRPr="009E0EBD" w:rsidRDefault="001E05B1" w:rsidP="000203CA">
            <w:pPr>
              <w:spacing w:after="0" w:line="259" w:lineRule="auto"/>
              <w:ind w:left="2" w:firstLine="0"/>
              <w:jc w:val="left"/>
            </w:pPr>
            <w:r w:rsidRPr="009E0EBD">
              <w:t xml:space="preserve">M0 </w:t>
            </w:r>
          </w:p>
        </w:tc>
      </w:tr>
      <w:tr w:rsidR="001E05B1" w:rsidRPr="009E0EBD" w14:paraId="74B70F74" w14:textId="77777777" w:rsidTr="00E75A6B">
        <w:trPr>
          <w:trHeight w:val="425"/>
        </w:trPr>
        <w:tc>
          <w:tcPr>
            <w:tcW w:w="993" w:type="dxa"/>
            <w:vMerge/>
            <w:tcBorders>
              <w:left w:val="single" w:sz="4" w:space="0" w:color="000000"/>
              <w:right w:val="single" w:sz="4" w:space="0" w:color="000000"/>
            </w:tcBorders>
          </w:tcPr>
          <w:p w14:paraId="54D96161" w14:textId="77777777" w:rsidR="001E05B1" w:rsidRPr="009E0EBD" w:rsidRDefault="001E05B1" w:rsidP="000203CA">
            <w:pPr>
              <w:spacing w:after="0"/>
              <w:ind w:left="0"/>
              <w:jc w:val="left"/>
            </w:pPr>
          </w:p>
        </w:tc>
        <w:tc>
          <w:tcPr>
            <w:tcW w:w="991" w:type="dxa"/>
            <w:tcBorders>
              <w:top w:val="single" w:sz="4" w:space="0" w:color="000000"/>
              <w:left w:val="single" w:sz="4" w:space="0" w:color="000000"/>
              <w:bottom w:val="single" w:sz="4" w:space="0" w:color="000000"/>
              <w:right w:val="single" w:sz="4" w:space="0" w:color="000000"/>
            </w:tcBorders>
          </w:tcPr>
          <w:p w14:paraId="3279A746" w14:textId="77777777" w:rsidR="001E05B1" w:rsidRPr="009E0EBD" w:rsidRDefault="001E05B1" w:rsidP="000203CA">
            <w:pPr>
              <w:spacing w:after="0" w:line="259" w:lineRule="auto"/>
              <w:ind w:left="0" w:firstLine="0"/>
              <w:jc w:val="left"/>
            </w:pPr>
            <w:r w:rsidRPr="009E0EBD">
              <w:t xml:space="preserve">Any T </w:t>
            </w:r>
          </w:p>
        </w:tc>
        <w:tc>
          <w:tcPr>
            <w:tcW w:w="992" w:type="dxa"/>
            <w:tcBorders>
              <w:top w:val="single" w:sz="4" w:space="0" w:color="000000"/>
              <w:left w:val="single" w:sz="4" w:space="0" w:color="000000"/>
              <w:bottom w:val="single" w:sz="4" w:space="0" w:color="000000"/>
              <w:right w:val="single" w:sz="4" w:space="0" w:color="000000"/>
            </w:tcBorders>
          </w:tcPr>
          <w:p w14:paraId="0012E487" w14:textId="77777777" w:rsidR="001E05B1" w:rsidRPr="009E0EBD" w:rsidRDefault="001E05B1" w:rsidP="000203CA">
            <w:pPr>
              <w:spacing w:after="0" w:line="259" w:lineRule="auto"/>
              <w:ind w:left="3" w:firstLine="0"/>
              <w:jc w:val="left"/>
            </w:pPr>
            <w:r w:rsidRPr="009E0EBD">
              <w:t xml:space="preserve">N2 </w:t>
            </w:r>
          </w:p>
        </w:tc>
        <w:tc>
          <w:tcPr>
            <w:tcW w:w="994" w:type="dxa"/>
            <w:tcBorders>
              <w:top w:val="single" w:sz="4" w:space="0" w:color="000000"/>
              <w:left w:val="single" w:sz="4" w:space="0" w:color="000000"/>
              <w:bottom w:val="single" w:sz="4" w:space="0" w:color="000000"/>
              <w:right w:val="single" w:sz="4" w:space="0" w:color="000000"/>
            </w:tcBorders>
          </w:tcPr>
          <w:p w14:paraId="6FD5B614" w14:textId="77777777" w:rsidR="001E05B1" w:rsidRPr="009E0EBD" w:rsidRDefault="001E05B1" w:rsidP="000203CA">
            <w:pPr>
              <w:spacing w:after="0" w:line="259" w:lineRule="auto"/>
              <w:ind w:left="2" w:firstLine="0"/>
              <w:jc w:val="left"/>
            </w:pPr>
            <w:r w:rsidRPr="009E0EBD">
              <w:t xml:space="preserve">M0 </w:t>
            </w:r>
          </w:p>
        </w:tc>
      </w:tr>
      <w:tr w:rsidR="001E05B1" w:rsidRPr="009E0EBD" w14:paraId="48505982" w14:textId="77777777" w:rsidTr="00E75A6B">
        <w:trPr>
          <w:trHeight w:val="422"/>
        </w:trPr>
        <w:tc>
          <w:tcPr>
            <w:tcW w:w="993" w:type="dxa"/>
            <w:vMerge/>
            <w:tcBorders>
              <w:left w:val="single" w:sz="4" w:space="0" w:color="000000"/>
              <w:bottom w:val="single" w:sz="4" w:space="0" w:color="000000"/>
              <w:right w:val="single" w:sz="4" w:space="0" w:color="000000"/>
            </w:tcBorders>
          </w:tcPr>
          <w:p w14:paraId="2DD8DC3D" w14:textId="77777777" w:rsidR="001E05B1" w:rsidRPr="009E0EBD" w:rsidRDefault="001E05B1" w:rsidP="000203CA">
            <w:pPr>
              <w:spacing w:after="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7385D6D1" w14:textId="77777777" w:rsidR="001E05B1" w:rsidRPr="009E0EBD" w:rsidRDefault="001E05B1" w:rsidP="000203CA">
            <w:pPr>
              <w:spacing w:after="0" w:line="259" w:lineRule="auto"/>
              <w:ind w:left="0" w:firstLine="0"/>
              <w:jc w:val="left"/>
            </w:pPr>
            <w:r w:rsidRPr="009E0EBD">
              <w:t xml:space="preserve">Any T </w:t>
            </w:r>
          </w:p>
        </w:tc>
        <w:tc>
          <w:tcPr>
            <w:tcW w:w="992" w:type="dxa"/>
            <w:tcBorders>
              <w:top w:val="single" w:sz="4" w:space="0" w:color="000000"/>
              <w:left w:val="single" w:sz="4" w:space="0" w:color="000000"/>
              <w:bottom w:val="single" w:sz="4" w:space="0" w:color="000000"/>
              <w:right w:val="single" w:sz="4" w:space="0" w:color="000000"/>
            </w:tcBorders>
          </w:tcPr>
          <w:p w14:paraId="708EF4C7" w14:textId="77777777" w:rsidR="001E05B1" w:rsidRPr="009E0EBD" w:rsidRDefault="001E05B1" w:rsidP="000203CA">
            <w:pPr>
              <w:spacing w:after="0" w:line="259" w:lineRule="auto"/>
              <w:ind w:left="3" w:firstLine="0"/>
              <w:jc w:val="left"/>
            </w:pPr>
            <w:r w:rsidRPr="009E0EBD">
              <w:t xml:space="preserve">Any N </w:t>
            </w:r>
          </w:p>
        </w:tc>
        <w:tc>
          <w:tcPr>
            <w:tcW w:w="994" w:type="dxa"/>
            <w:tcBorders>
              <w:top w:val="single" w:sz="4" w:space="0" w:color="000000"/>
              <w:left w:val="single" w:sz="4" w:space="0" w:color="000000"/>
              <w:bottom w:val="single" w:sz="4" w:space="0" w:color="000000"/>
              <w:right w:val="single" w:sz="4" w:space="0" w:color="000000"/>
            </w:tcBorders>
          </w:tcPr>
          <w:p w14:paraId="37516304" w14:textId="77777777" w:rsidR="001E05B1" w:rsidRPr="009E0EBD" w:rsidRDefault="001E05B1" w:rsidP="000203CA">
            <w:pPr>
              <w:spacing w:after="0" w:line="259" w:lineRule="auto"/>
              <w:ind w:left="2" w:firstLine="0"/>
              <w:jc w:val="left"/>
            </w:pPr>
            <w:r w:rsidRPr="009E0EBD">
              <w:t xml:space="preserve">M1 </w:t>
            </w:r>
          </w:p>
        </w:tc>
      </w:tr>
    </w:tbl>
    <w:p w14:paraId="4D86ADE3" w14:textId="77777777" w:rsidR="00F430B4" w:rsidRPr="009E0EBD" w:rsidRDefault="00F430B4" w:rsidP="00F430B4">
      <w:pPr>
        <w:spacing w:after="0" w:line="259" w:lineRule="auto"/>
        <w:ind w:left="0" w:firstLine="0"/>
        <w:jc w:val="left"/>
      </w:pPr>
      <w:r w:rsidRPr="009E0EBD">
        <w:rPr>
          <w:b/>
        </w:rPr>
        <w:t xml:space="preserve"> </w:t>
      </w:r>
    </w:p>
    <w:p w14:paraId="4FD4B9A5" w14:textId="0E32BC1C" w:rsidR="000E7702" w:rsidRPr="009E0EBD" w:rsidRDefault="000E7702">
      <w:pPr>
        <w:spacing w:after="0" w:line="259" w:lineRule="auto"/>
        <w:ind w:left="0" w:firstLine="0"/>
        <w:jc w:val="left"/>
      </w:pPr>
    </w:p>
    <w:p w14:paraId="2EE2D046" w14:textId="5161398B" w:rsidR="003E1065" w:rsidRPr="009E0EBD" w:rsidRDefault="00E75A6B" w:rsidP="003E1065">
      <w:pPr>
        <w:ind w:left="567" w:right="181" w:hanging="567"/>
        <w:rPr>
          <w:rFonts w:eastAsia="Calibri"/>
          <w:b/>
        </w:rPr>
      </w:pPr>
      <w:r>
        <w:rPr>
          <w:rFonts w:eastAsia="Calibri"/>
          <w:b/>
        </w:rPr>
        <w:t>Reference</w:t>
      </w:r>
    </w:p>
    <w:p w14:paraId="4E5CE565" w14:textId="77777777" w:rsidR="003E1065" w:rsidRPr="009E0EBD" w:rsidRDefault="003E1065" w:rsidP="00C143AA">
      <w:pPr>
        <w:ind w:left="567" w:right="181" w:hanging="567"/>
        <w:jc w:val="left"/>
        <w:rPr>
          <w:rFonts w:eastAsia="Calibri"/>
          <w:b/>
        </w:rPr>
      </w:pPr>
    </w:p>
    <w:p w14:paraId="5CD936F8" w14:textId="34C54552" w:rsidR="003E1065" w:rsidRPr="00C143AA" w:rsidRDefault="003E1065" w:rsidP="00C143AA">
      <w:pPr>
        <w:pStyle w:val="ListParagraph"/>
        <w:numPr>
          <w:ilvl w:val="0"/>
          <w:numId w:val="1"/>
        </w:numPr>
        <w:spacing w:after="120" w:line="240" w:lineRule="auto"/>
        <w:ind w:left="567" w:right="181" w:hanging="567"/>
        <w:contextualSpacing w:val="0"/>
        <w:jc w:val="left"/>
        <w:rPr>
          <w:rFonts w:eastAsia="Calibri"/>
        </w:rPr>
      </w:pPr>
      <w:r w:rsidRPr="00C143AA">
        <w:rPr>
          <w:rFonts w:eastAsia="Calibri"/>
        </w:rPr>
        <w:t>Penis</w:t>
      </w:r>
      <w:r w:rsidR="00CB37E7" w:rsidRPr="00C143AA">
        <w:rPr>
          <w:rFonts w:eastAsia="Calibri"/>
        </w:rPr>
        <w:t>; Urethra</w:t>
      </w:r>
      <w:r w:rsidRPr="00C143AA">
        <w:rPr>
          <w:rFonts w:eastAsia="Calibri"/>
        </w:rPr>
        <w:t xml:space="preserve">. </w:t>
      </w:r>
      <w:r w:rsidRPr="00C143AA">
        <w:rPr>
          <w:rFonts w:eastAsia="Calibri"/>
          <w:i/>
        </w:rPr>
        <w:t>In</w:t>
      </w:r>
      <w:r w:rsidRPr="00C143AA">
        <w:rPr>
          <w:rFonts w:eastAsia="Calibri"/>
        </w:rPr>
        <w:t xml:space="preserve">: Brierley JD, </w:t>
      </w:r>
      <w:proofErr w:type="spellStart"/>
      <w:r w:rsidRPr="00C143AA">
        <w:rPr>
          <w:rFonts w:eastAsia="Calibri"/>
        </w:rPr>
        <w:t>Gospodarowicz</w:t>
      </w:r>
      <w:proofErr w:type="spellEnd"/>
      <w:r w:rsidRPr="00C143AA">
        <w:rPr>
          <w:rFonts w:eastAsia="Calibri"/>
        </w:rPr>
        <w:t xml:space="preserve"> MK, Wittekind C</w:t>
      </w:r>
      <w:r w:rsidR="00E07FA7" w:rsidRPr="00C143AA">
        <w:rPr>
          <w:rFonts w:eastAsia="Calibri"/>
        </w:rPr>
        <w:t xml:space="preserve"> (</w:t>
      </w:r>
      <w:proofErr w:type="gramStart"/>
      <w:r w:rsidR="00E07FA7" w:rsidRPr="00C143AA">
        <w:rPr>
          <w:rFonts w:eastAsia="Calibri"/>
        </w:rPr>
        <w:t>eds</w:t>
      </w:r>
      <w:proofErr w:type="gramEnd"/>
      <w:r w:rsidRPr="00C143AA">
        <w:rPr>
          <w:rFonts w:eastAsia="Calibri"/>
        </w:rPr>
        <w:t xml:space="preserve">). </w:t>
      </w:r>
      <w:r w:rsidRPr="00C143AA">
        <w:rPr>
          <w:rFonts w:eastAsia="Calibri"/>
          <w:i/>
        </w:rPr>
        <w:t>TNM Class</w:t>
      </w:r>
      <w:r w:rsidR="00E07FA7" w:rsidRPr="00C143AA">
        <w:rPr>
          <w:rFonts w:eastAsia="Calibri"/>
          <w:i/>
        </w:rPr>
        <w:t>ification of Malignant Tumours (</w:t>
      </w:r>
      <w:r w:rsidRPr="00C143AA">
        <w:rPr>
          <w:rFonts w:eastAsia="Calibri"/>
          <w:i/>
        </w:rPr>
        <w:t>8</w:t>
      </w:r>
      <w:r w:rsidRPr="00C143AA">
        <w:rPr>
          <w:rFonts w:eastAsia="Calibri"/>
          <w:i/>
          <w:vertAlign w:val="superscript"/>
        </w:rPr>
        <w:t>th</w:t>
      </w:r>
      <w:r w:rsidRPr="00C143AA">
        <w:rPr>
          <w:rFonts w:eastAsia="Calibri"/>
          <w:i/>
        </w:rPr>
        <w:t xml:space="preserve"> edition</w:t>
      </w:r>
      <w:r w:rsidR="00E07FA7" w:rsidRPr="00C143AA">
        <w:rPr>
          <w:rFonts w:eastAsia="Calibri"/>
          <w:i/>
        </w:rPr>
        <w:t>)</w:t>
      </w:r>
      <w:r w:rsidRPr="00C143AA">
        <w:rPr>
          <w:rFonts w:eastAsia="Calibri"/>
          <w:i/>
        </w:rPr>
        <w:t>.</w:t>
      </w:r>
      <w:r w:rsidRPr="00C143AA">
        <w:rPr>
          <w:rFonts w:eastAsia="Calibri"/>
        </w:rPr>
        <w:t xml:space="preserve"> </w:t>
      </w:r>
      <w:r w:rsidR="00E07FA7" w:rsidRPr="00C143AA">
        <w:rPr>
          <w:rFonts w:eastAsia="Calibri"/>
        </w:rPr>
        <w:t>Oxford, UK: Wiley-Blackwell, 2017</w:t>
      </w:r>
      <w:r w:rsidRPr="00C143AA">
        <w:rPr>
          <w:rFonts w:eastAsia="Calibri"/>
        </w:rPr>
        <w:t xml:space="preserve">. </w:t>
      </w:r>
    </w:p>
    <w:p w14:paraId="070A64AF" w14:textId="4408059B" w:rsidR="00C143AA" w:rsidRDefault="00C143AA" w:rsidP="00C143AA">
      <w:pPr>
        <w:pStyle w:val="ListParagraph"/>
        <w:numPr>
          <w:ilvl w:val="0"/>
          <w:numId w:val="1"/>
        </w:numPr>
        <w:spacing w:after="120" w:line="240" w:lineRule="auto"/>
        <w:ind w:left="567" w:right="181" w:hanging="567"/>
        <w:contextualSpacing w:val="0"/>
        <w:jc w:val="left"/>
        <w:rPr>
          <w:rFonts w:eastAsia="Calibri"/>
        </w:rPr>
      </w:pPr>
      <w:r w:rsidRPr="00C143AA">
        <w:rPr>
          <w:rFonts w:eastAsia="Calibri"/>
        </w:rPr>
        <w:t xml:space="preserve">Corbishley C, </w:t>
      </w:r>
      <w:proofErr w:type="spellStart"/>
      <w:r w:rsidRPr="00C143AA">
        <w:rPr>
          <w:rFonts w:eastAsia="Calibri"/>
        </w:rPr>
        <w:t>Chaux</w:t>
      </w:r>
      <w:proofErr w:type="spellEnd"/>
      <w:r w:rsidRPr="00C143AA">
        <w:rPr>
          <w:rFonts w:eastAsia="Calibri"/>
        </w:rPr>
        <w:t xml:space="preserve"> A, </w:t>
      </w:r>
      <w:proofErr w:type="spellStart"/>
      <w:r w:rsidRPr="00C143AA">
        <w:rPr>
          <w:rFonts w:eastAsia="Calibri"/>
        </w:rPr>
        <w:t>Colecchia</w:t>
      </w:r>
      <w:proofErr w:type="spellEnd"/>
      <w:r w:rsidRPr="00C143AA">
        <w:rPr>
          <w:rFonts w:eastAsia="Calibri"/>
        </w:rPr>
        <w:t xml:space="preserve"> M, </w:t>
      </w:r>
      <w:proofErr w:type="spellStart"/>
      <w:r w:rsidRPr="00C143AA">
        <w:rPr>
          <w:rFonts w:eastAsia="Calibri"/>
        </w:rPr>
        <w:t>Cubilla</w:t>
      </w:r>
      <w:proofErr w:type="spellEnd"/>
      <w:r w:rsidRPr="00C143AA">
        <w:rPr>
          <w:rFonts w:eastAsia="Calibri"/>
        </w:rPr>
        <w:t xml:space="preserve"> AL, Shanks J, Velazquez EF</w:t>
      </w:r>
      <w:r>
        <w:rPr>
          <w:rFonts w:eastAsia="Calibri"/>
        </w:rPr>
        <w:t xml:space="preserve"> </w:t>
      </w:r>
      <w:r>
        <w:rPr>
          <w:rFonts w:eastAsia="Calibri"/>
          <w:i/>
        </w:rPr>
        <w:t xml:space="preserve">et al. </w:t>
      </w:r>
      <w:r w:rsidRPr="00C143AA">
        <w:rPr>
          <w:rFonts w:eastAsia="Calibri"/>
        </w:rPr>
        <w:t xml:space="preserve"> </w:t>
      </w:r>
      <w:r w:rsidRPr="00C143AA">
        <w:rPr>
          <w:rFonts w:eastAsia="Calibri"/>
          <w:i/>
        </w:rPr>
        <w:t xml:space="preserve">Carcinoma of the Penis and Distal Urethra Histopathology Reporting Guide </w:t>
      </w:r>
      <w:r>
        <w:rPr>
          <w:rFonts w:eastAsia="Calibri"/>
          <w:i/>
        </w:rPr>
        <w:t>(</w:t>
      </w:r>
      <w:r w:rsidRPr="00C143AA">
        <w:rPr>
          <w:rFonts w:eastAsia="Calibri"/>
          <w:i/>
        </w:rPr>
        <w:t>1st edition</w:t>
      </w:r>
      <w:r w:rsidRPr="00C143AA">
        <w:rPr>
          <w:rFonts w:eastAsia="Calibri"/>
        </w:rPr>
        <w:t>.</w:t>
      </w:r>
      <w:r>
        <w:rPr>
          <w:rFonts w:eastAsia="Calibri"/>
        </w:rPr>
        <w:t>)</w:t>
      </w:r>
      <w:r w:rsidRPr="00C143AA">
        <w:rPr>
          <w:rFonts w:eastAsia="Calibri"/>
        </w:rPr>
        <w:t xml:space="preserve"> Sydney, Australia</w:t>
      </w:r>
      <w:r>
        <w:rPr>
          <w:rFonts w:eastAsia="Calibri"/>
        </w:rPr>
        <w:t>:</w:t>
      </w:r>
      <w:r w:rsidRPr="00C143AA">
        <w:rPr>
          <w:rFonts w:eastAsia="Calibri"/>
        </w:rPr>
        <w:t xml:space="preserve"> International Co</w:t>
      </w:r>
      <w:r>
        <w:rPr>
          <w:rFonts w:eastAsia="Calibri"/>
        </w:rPr>
        <w:t>llaboration on Cancer Reporting</w:t>
      </w:r>
      <w:r w:rsidRPr="00C143AA">
        <w:rPr>
          <w:rFonts w:eastAsia="Calibri"/>
        </w:rPr>
        <w:t xml:space="preserve">. </w:t>
      </w:r>
      <w:r>
        <w:rPr>
          <w:rFonts w:eastAsia="Calibri"/>
        </w:rPr>
        <w:t xml:space="preserve">Available at: </w:t>
      </w:r>
      <w:hyperlink r:id="rId8" w:history="1">
        <w:r w:rsidRPr="006915A3">
          <w:rPr>
            <w:rStyle w:val="Hyperlink"/>
            <w:rFonts w:eastAsia="Calibri"/>
          </w:rPr>
          <w:t>www.iccr-cancer.org/datasets/published-datasets/urinary-male-genital</w:t>
        </w:r>
      </w:hyperlink>
      <w:r>
        <w:rPr>
          <w:rFonts w:eastAsia="Calibri"/>
        </w:rPr>
        <w:t xml:space="preserve">. </w:t>
      </w:r>
    </w:p>
    <w:p w14:paraId="5B9B35A9" w14:textId="55D72577" w:rsidR="00EC7424" w:rsidRPr="00C143AA" w:rsidRDefault="00EC7424" w:rsidP="00EC7424">
      <w:pPr>
        <w:pStyle w:val="ListParagraph"/>
        <w:numPr>
          <w:ilvl w:val="0"/>
          <w:numId w:val="1"/>
        </w:numPr>
        <w:spacing w:after="120" w:line="240" w:lineRule="auto"/>
        <w:ind w:left="567" w:right="181"/>
        <w:contextualSpacing w:val="0"/>
        <w:jc w:val="left"/>
        <w:rPr>
          <w:rFonts w:eastAsia="Calibri"/>
        </w:rPr>
      </w:pPr>
      <w:r>
        <w:rPr>
          <w:rFonts w:eastAsia="Calibri"/>
        </w:rPr>
        <w:t xml:space="preserve">Humphrey PA, </w:t>
      </w:r>
      <w:proofErr w:type="spellStart"/>
      <w:r>
        <w:rPr>
          <w:rFonts w:eastAsia="Calibri"/>
        </w:rPr>
        <w:t>Moch</w:t>
      </w:r>
      <w:proofErr w:type="spellEnd"/>
      <w:r>
        <w:rPr>
          <w:rFonts w:eastAsia="Calibri"/>
        </w:rPr>
        <w:t xml:space="preserve"> H, Reuter VE, </w:t>
      </w:r>
      <w:proofErr w:type="spellStart"/>
      <w:r>
        <w:rPr>
          <w:rFonts w:eastAsia="Calibri"/>
        </w:rPr>
        <w:t>Ulbright</w:t>
      </w:r>
      <w:proofErr w:type="spellEnd"/>
      <w:r>
        <w:rPr>
          <w:rFonts w:eastAsia="Calibri"/>
        </w:rPr>
        <w:t xml:space="preserve"> TM (eds.) </w:t>
      </w:r>
      <w:r w:rsidRPr="00EC7424">
        <w:rPr>
          <w:rFonts w:eastAsia="Calibri"/>
          <w:i/>
        </w:rPr>
        <w:t>WHO Classification of Tumours of the Urinary System and Male Genital Organs</w:t>
      </w:r>
      <w:r>
        <w:rPr>
          <w:rFonts w:eastAsia="Calibri"/>
          <w:i/>
        </w:rPr>
        <w:t xml:space="preserve"> (4</w:t>
      </w:r>
      <w:r w:rsidRPr="00EC7424">
        <w:rPr>
          <w:rFonts w:eastAsia="Calibri"/>
          <w:i/>
          <w:vertAlign w:val="superscript"/>
        </w:rPr>
        <w:t>th</w:t>
      </w:r>
      <w:r>
        <w:rPr>
          <w:rFonts w:eastAsia="Calibri"/>
          <w:i/>
        </w:rPr>
        <w:t xml:space="preserve"> edition)</w:t>
      </w:r>
      <w:r w:rsidRPr="00EC7424">
        <w:rPr>
          <w:rFonts w:eastAsia="Calibri"/>
          <w:i/>
        </w:rPr>
        <w:t>.</w:t>
      </w:r>
      <w:r>
        <w:rPr>
          <w:rFonts w:eastAsia="Calibri"/>
          <w:i/>
        </w:rPr>
        <w:t xml:space="preserve"> </w:t>
      </w:r>
      <w:r>
        <w:rPr>
          <w:rFonts w:eastAsia="Calibri"/>
        </w:rPr>
        <w:t>Lyon, France: IARC Press, 2016.</w:t>
      </w:r>
      <w:bookmarkStart w:id="0" w:name="_GoBack"/>
      <w:bookmarkEnd w:id="0"/>
    </w:p>
    <w:p w14:paraId="141EBBC9" w14:textId="77777777" w:rsidR="000E7702" w:rsidRPr="009E0EBD" w:rsidRDefault="000E7702" w:rsidP="003E1065">
      <w:pPr>
        <w:spacing w:after="7"/>
        <w:ind w:left="-15" w:right="719" w:firstLine="0"/>
        <w:jc w:val="left"/>
      </w:pPr>
    </w:p>
    <w:sectPr w:rsidR="000E7702" w:rsidRPr="009E0EBD" w:rsidSect="009E0EBD">
      <w:footerReference w:type="even" r:id="rId9"/>
      <w:footerReference w:type="default" r:id="rId10"/>
      <w:footerReference w:type="first" r:id="rId11"/>
      <w:pgSz w:w="11906" w:h="16838"/>
      <w:pgMar w:top="1134" w:right="1134" w:bottom="1134" w:left="1134" w:header="720" w:footer="73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57167" w14:textId="77777777" w:rsidR="001D5B22" w:rsidRDefault="001D5B22">
      <w:pPr>
        <w:spacing w:after="0" w:line="240" w:lineRule="auto"/>
      </w:pPr>
      <w:r>
        <w:separator/>
      </w:r>
    </w:p>
  </w:endnote>
  <w:endnote w:type="continuationSeparator" w:id="0">
    <w:p w14:paraId="3C068BEF" w14:textId="77777777" w:rsidR="001D5B22" w:rsidRDefault="001D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BA5F" w14:textId="77777777" w:rsidR="000E7702" w:rsidRDefault="00D52154">
    <w:pPr>
      <w:tabs>
        <w:tab w:val="center" w:pos="1185"/>
        <w:tab w:val="center" w:pos="4876"/>
        <w:tab w:val="center" w:pos="8629"/>
        <w:tab w:val="right" w:pos="9644"/>
      </w:tabs>
      <w:spacing w:after="0" w:line="259" w:lineRule="auto"/>
      <w:ind w:left="0" w:firstLine="0"/>
      <w:jc w:val="left"/>
    </w:pPr>
    <w:proofErr w:type="spellStart"/>
    <w:r>
      <w:rPr>
        <w:sz w:val="20"/>
      </w:rPr>
      <w:t>CEff</w:t>
    </w:r>
    <w:proofErr w:type="spellEnd"/>
    <w:r>
      <w:rPr>
        <w:sz w:val="20"/>
      </w:rPr>
      <w:t xml:space="preserve"> </w:t>
    </w:r>
    <w:r>
      <w:rPr>
        <w:sz w:val="20"/>
      </w:rPr>
      <w:tab/>
      <w:t xml:space="preserve">100715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0"/>
      </w:rPr>
      <w:tab/>
      <w:t xml:space="preserve">V1 </w:t>
    </w:r>
    <w:r>
      <w:rPr>
        <w:sz w:val="20"/>
      </w:rPr>
      <w:tab/>
      <w:t xml:space="preserve">  Final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D15FF" w14:textId="77777777" w:rsidR="000E7702" w:rsidRDefault="000E7702">
    <w:pPr>
      <w:tabs>
        <w:tab w:val="center" w:pos="1185"/>
        <w:tab w:val="center" w:pos="4876"/>
        <w:tab w:val="center" w:pos="8629"/>
        <w:tab w:val="right" w:pos="9644"/>
      </w:tabs>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B19A" w14:textId="77777777" w:rsidR="000E7702" w:rsidRDefault="000E7702">
    <w:pPr>
      <w:spacing w:after="0" w:line="259" w:lineRule="auto"/>
      <w:ind w:left="107"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ACB0A" w14:textId="77777777" w:rsidR="001D5B22" w:rsidRDefault="001D5B22">
      <w:pPr>
        <w:spacing w:after="0" w:line="240" w:lineRule="auto"/>
      </w:pPr>
      <w:r>
        <w:separator/>
      </w:r>
    </w:p>
  </w:footnote>
  <w:footnote w:type="continuationSeparator" w:id="0">
    <w:p w14:paraId="064F5AE0" w14:textId="77777777" w:rsidR="001D5B22" w:rsidRDefault="001D5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3D1B"/>
    <w:multiLevelType w:val="hybridMultilevel"/>
    <w:tmpl w:val="BE6230EC"/>
    <w:lvl w:ilvl="0" w:tplc="6CB24EA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02"/>
    <w:rsid w:val="000010B6"/>
    <w:rsid w:val="000E7702"/>
    <w:rsid w:val="00113B29"/>
    <w:rsid w:val="001631E7"/>
    <w:rsid w:val="001D5B22"/>
    <w:rsid w:val="001E05B1"/>
    <w:rsid w:val="00205A8C"/>
    <w:rsid w:val="00212ED9"/>
    <w:rsid w:val="002150A5"/>
    <w:rsid w:val="003E1065"/>
    <w:rsid w:val="00747880"/>
    <w:rsid w:val="009E0EBD"/>
    <w:rsid w:val="00C143AA"/>
    <w:rsid w:val="00C3104C"/>
    <w:rsid w:val="00CB37E7"/>
    <w:rsid w:val="00D52154"/>
    <w:rsid w:val="00E07FA7"/>
    <w:rsid w:val="00E75A6B"/>
    <w:rsid w:val="00EB3A7E"/>
    <w:rsid w:val="00EC7424"/>
    <w:rsid w:val="00F218DF"/>
    <w:rsid w:val="00F430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D6CB2"/>
  <w15:docId w15:val="{4A3C2F2A-75FF-4FA3-BBE1-5FF8435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B4"/>
    <w:pPr>
      <w:spacing w:after="5"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line="253"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line="253"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line="253"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line="267"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3" w:line="253" w:lineRule="auto"/>
      <w:ind w:left="10" w:hanging="10"/>
      <w:outlineLvl w:val="4"/>
    </w:pPr>
    <w:rPr>
      <w:rFonts w:ascii="Arial" w:eastAsia="Arial" w:hAnsi="Arial" w:cs="Arial"/>
      <w:i/>
      <w:color w:val="000000"/>
    </w:rPr>
  </w:style>
  <w:style w:type="paragraph" w:styleId="Heading6">
    <w:name w:val="heading 6"/>
    <w:next w:val="Normal"/>
    <w:link w:val="Heading6Char"/>
    <w:uiPriority w:val="9"/>
    <w:unhideWhenUsed/>
    <w:qFormat/>
    <w:pPr>
      <w:keepNext/>
      <w:keepLines/>
      <w:spacing w:after="0" w:line="267" w:lineRule="auto"/>
      <w:ind w:left="10" w:hanging="10"/>
      <w:outlineLvl w:val="5"/>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4"/>
    </w:rPr>
  </w:style>
  <w:style w:type="character" w:customStyle="1" w:styleId="Heading5Char">
    <w:name w:val="Heading 5 Char"/>
    <w:link w:val="Heading5"/>
    <w:rPr>
      <w:rFonts w:ascii="Arial" w:eastAsia="Arial" w:hAnsi="Arial" w:cs="Arial"/>
      <w:i/>
      <w:color w:val="000000"/>
      <w:sz w:val="22"/>
    </w:rPr>
  </w:style>
  <w:style w:type="character" w:customStyle="1" w:styleId="Heading6Char">
    <w:name w:val="Heading 6 Char"/>
    <w:link w:val="Heading6"/>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3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4C"/>
    <w:rPr>
      <w:rFonts w:ascii="Segoe UI" w:eastAsia="Arial" w:hAnsi="Segoe UI" w:cs="Segoe UI"/>
      <w:color w:val="000000"/>
      <w:sz w:val="18"/>
      <w:szCs w:val="18"/>
    </w:rPr>
  </w:style>
  <w:style w:type="paragraph" w:styleId="Header">
    <w:name w:val="header"/>
    <w:basedOn w:val="Normal"/>
    <w:link w:val="HeaderChar"/>
    <w:uiPriority w:val="99"/>
    <w:unhideWhenUsed/>
    <w:rsid w:val="009E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EBD"/>
    <w:rPr>
      <w:rFonts w:ascii="Arial" w:eastAsia="Arial" w:hAnsi="Arial" w:cs="Arial"/>
      <w:color w:val="000000"/>
    </w:rPr>
  </w:style>
  <w:style w:type="paragraph" w:styleId="ListParagraph">
    <w:name w:val="List Paragraph"/>
    <w:basedOn w:val="Normal"/>
    <w:uiPriority w:val="34"/>
    <w:qFormat/>
    <w:rsid w:val="00C143AA"/>
    <w:pPr>
      <w:ind w:left="720"/>
      <w:contextualSpacing/>
    </w:pPr>
  </w:style>
  <w:style w:type="character" w:styleId="Hyperlink">
    <w:name w:val="Hyperlink"/>
    <w:basedOn w:val="DefaultParagraphFont"/>
    <w:uiPriority w:val="99"/>
    <w:unhideWhenUsed/>
    <w:rsid w:val="00C143AA"/>
    <w:rPr>
      <w:color w:val="0563C1" w:themeColor="hyperlink"/>
      <w:u w:val="single"/>
    </w:rPr>
  </w:style>
  <w:style w:type="character" w:styleId="FollowedHyperlink">
    <w:name w:val="FollowedHyperlink"/>
    <w:basedOn w:val="DefaultParagraphFont"/>
    <w:uiPriority w:val="99"/>
    <w:semiHidden/>
    <w:unhideWhenUsed/>
    <w:rsid w:val="00C14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r-cancer.org/datasets/published-datasets/urinary-male-geni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35D3B01F-9D4E-4314-B977-9FA45B35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Hancock</dc:creator>
  <cp:keywords/>
  <cp:lastModifiedBy>Kate Stewart</cp:lastModifiedBy>
  <cp:revision>3</cp:revision>
  <dcterms:created xsi:type="dcterms:W3CDTF">2017-11-28T12:48:00Z</dcterms:created>
  <dcterms:modified xsi:type="dcterms:W3CDTF">2017-12-05T10:56:00Z</dcterms:modified>
</cp:coreProperties>
</file>