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C6A5" w14:textId="00CD9CE4" w:rsidR="00D445BA" w:rsidRPr="00077B16" w:rsidRDefault="0085781D" w:rsidP="00876760">
      <w:pPr>
        <w:pStyle w:val="Heading2"/>
      </w:pPr>
      <w:r w:rsidRPr="00035053">
        <w:t xml:space="preserve">Haematology </w:t>
      </w:r>
      <w:r w:rsidR="00D445BA" w:rsidRPr="00077B16">
        <w:t>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0"/>
      </w:tblGrid>
      <w:tr w:rsidR="009F45A0" w:rsidRPr="00077B16" w14:paraId="12ECF8AC" w14:textId="77777777" w:rsidTr="00874EB1">
        <w:trPr>
          <w:trHeight w:val="20"/>
        </w:trPr>
        <w:tc>
          <w:tcPr>
            <w:tcW w:w="1838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790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874EB1">
        <w:trPr>
          <w:trHeight w:val="20"/>
        </w:trPr>
        <w:tc>
          <w:tcPr>
            <w:tcW w:w="1838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790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9F45A0" w:rsidRPr="00077B16" w14:paraId="3ED98884" w14:textId="77777777" w:rsidTr="00874EB1">
        <w:trPr>
          <w:trHeight w:val="20"/>
        </w:trPr>
        <w:tc>
          <w:tcPr>
            <w:tcW w:w="1838" w:type="dxa"/>
          </w:tcPr>
          <w:p w14:paraId="5E61ADFA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7790" w:type="dxa"/>
          </w:tcPr>
          <w:p w14:paraId="645C2A8E" w14:textId="64A6BA73" w:rsidR="009F45A0" w:rsidRPr="009349D7" w:rsidRDefault="000F03EB" w:rsidP="00952DFE">
            <w:r w:rsidRPr="00F333F7">
              <w:rPr>
                <w:rFonts w:cs="Arial"/>
                <w:color w:val="000000"/>
              </w:rPr>
              <w:t>Haematology</w:t>
            </w:r>
          </w:p>
        </w:tc>
      </w:tr>
      <w:tr w:rsidR="00402330" w:rsidRPr="00077B16" w14:paraId="13EFC558" w14:textId="77777777" w:rsidTr="00874EB1">
        <w:trPr>
          <w:trHeight w:val="20"/>
        </w:trPr>
        <w:tc>
          <w:tcPr>
            <w:tcW w:w="1838" w:type="dxa"/>
          </w:tcPr>
          <w:p w14:paraId="3A56FE41" w14:textId="77777777" w:rsidR="00402330" w:rsidRPr="009349D7" w:rsidRDefault="00402330" w:rsidP="00402330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7790" w:type="dxa"/>
          </w:tcPr>
          <w:p w14:paraId="557F6919" w14:textId="6D331B98" w:rsidR="00402330" w:rsidRPr="009349D7" w:rsidRDefault="00402330" w:rsidP="00402330">
            <w:r w:rsidRPr="00560923">
              <w:rPr>
                <w:rFonts w:cs="Arial"/>
                <w:b/>
                <w:bCs/>
              </w:rPr>
              <w:t>An audit of compliance with the British Society for Haematology guideline for</w:t>
            </w:r>
            <w:r>
              <w:rPr>
                <w:rFonts w:cs="Arial"/>
                <w:i/>
                <w:iCs/>
                <w:color w:val="0000FF"/>
              </w:rPr>
              <w:t xml:space="preserve"> </w:t>
            </w:r>
            <w:r w:rsidRPr="00CD3B7F">
              <w:rPr>
                <w:rFonts w:cs="Arial"/>
                <w:b/>
                <w:bCs/>
              </w:rPr>
              <w:t xml:space="preserve">the </w:t>
            </w:r>
            <w:r>
              <w:rPr>
                <w:rFonts w:cs="Arial"/>
                <w:b/>
                <w:bCs/>
              </w:rPr>
              <w:t xml:space="preserve">laboratory </w:t>
            </w:r>
            <w:r w:rsidRPr="00CD3B7F">
              <w:rPr>
                <w:rFonts w:cs="Arial"/>
                <w:b/>
                <w:bCs/>
              </w:rPr>
              <w:t>diagnosis and m</w:t>
            </w:r>
            <w:r>
              <w:rPr>
                <w:rFonts w:cs="Arial"/>
                <w:b/>
                <w:bCs/>
              </w:rPr>
              <w:t>onitoring</w:t>
            </w:r>
            <w:r w:rsidRPr="00CD3B7F">
              <w:rPr>
                <w:rFonts w:cs="Arial"/>
                <w:b/>
                <w:bCs/>
              </w:rPr>
              <w:t xml:space="preserve"> of </w:t>
            </w:r>
            <w:r>
              <w:rPr>
                <w:rFonts w:cs="Arial"/>
                <w:b/>
                <w:bCs/>
              </w:rPr>
              <w:t>von Willebrand disease</w:t>
            </w:r>
          </w:p>
        </w:tc>
      </w:tr>
      <w:tr w:rsidR="002C046B" w:rsidRPr="00077B16" w14:paraId="2B750D7A" w14:textId="77777777" w:rsidTr="00874EB1">
        <w:trPr>
          <w:trHeight w:val="20"/>
        </w:trPr>
        <w:tc>
          <w:tcPr>
            <w:tcW w:w="1838" w:type="dxa"/>
          </w:tcPr>
          <w:p w14:paraId="70726B9A" w14:textId="77777777" w:rsidR="002C046B" w:rsidRPr="009349D7" w:rsidRDefault="002C046B" w:rsidP="002C046B">
            <w:pPr>
              <w:pStyle w:val="Rowheading"/>
            </w:pPr>
            <w:r w:rsidRPr="009349D7">
              <w:t>Background</w:t>
            </w:r>
          </w:p>
        </w:tc>
        <w:tc>
          <w:tcPr>
            <w:tcW w:w="7790" w:type="dxa"/>
          </w:tcPr>
          <w:p w14:paraId="63BED818" w14:textId="53901490" w:rsidR="002C046B" w:rsidRPr="009349D7" w:rsidRDefault="002C046B" w:rsidP="002C046B">
            <w:r w:rsidRPr="006C6A48">
              <w:rPr>
                <w:rFonts w:cs="Arial"/>
                <w:color w:val="000000"/>
              </w:rPr>
              <w:t xml:space="preserve">The </w:t>
            </w:r>
            <w:r>
              <w:rPr>
                <w:rFonts w:cs="Arial"/>
                <w:color w:val="000000"/>
              </w:rPr>
              <w:t xml:space="preserve">British Society for Haematology </w:t>
            </w:r>
            <w:r w:rsidR="006456DE">
              <w:rPr>
                <w:rFonts w:cs="Arial"/>
                <w:color w:val="000000"/>
              </w:rPr>
              <w:t>(</w:t>
            </w:r>
            <w:r w:rsidRPr="006C6A48">
              <w:rPr>
                <w:rFonts w:cs="Arial"/>
                <w:color w:val="000000"/>
              </w:rPr>
              <w:t>BSH</w:t>
            </w:r>
            <w:r w:rsidR="006456DE">
              <w:rPr>
                <w:rFonts w:cs="Arial"/>
                <w:color w:val="000000"/>
              </w:rPr>
              <w:t>)</w:t>
            </w:r>
            <w:r w:rsidRPr="006C6A48">
              <w:rPr>
                <w:rFonts w:cs="Arial"/>
                <w:color w:val="000000"/>
              </w:rPr>
              <w:t xml:space="preserve"> </w:t>
            </w:r>
            <w:r w:rsidR="00402330" w:rsidRPr="00CD3B7F">
              <w:rPr>
                <w:rFonts w:cs="Arial"/>
              </w:rPr>
              <w:t xml:space="preserve">has published guidance on the </w:t>
            </w:r>
            <w:bookmarkStart w:id="0" w:name="_Hlk174368323"/>
            <w:r w:rsidR="00402330">
              <w:rPr>
                <w:rFonts w:cs="Arial"/>
              </w:rPr>
              <w:t xml:space="preserve">laboratory </w:t>
            </w:r>
            <w:r w:rsidR="00402330" w:rsidRPr="00CD3B7F">
              <w:rPr>
                <w:rFonts w:cs="Arial"/>
              </w:rPr>
              <w:t xml:space="preserve">diagnosis and </w:t>
            </w:r>
            <w:r w:rsidR="00402330">
              <w:rPr>
                <w:rFonts w:cs="Arial"/>
              </w:rPr>
              <w:t xml:space="preserve">monitoring </w:t>
            </w:r>
            <w:r w:rsidR="00402330" w:rsidRPr="00CD3B7F">
              <w:rPr>
                <w:rFonts w:cs="Arial"/>
              </w:rPr>
              <w:t xml:space="preserve">of </w:t>
            </w:r>
            <w:r w:rsidR="00402330">
              <w:rPr>
                <w:rFonts w:cs="Arial"/>
              </w:rPr>
              <w:t>von Willebrand disease (VWD)</w:t>
            </w:r>
            <w:bookmarkEnd w:id="0"/>
            <w:r w:rsidR="00402330">
              <w:rPr>
                <w:rFonts w:cs="Arial"/>
              </w:rPr>
              <w:t>.</w:t>
            </w:r>
            <w:r w:rsidR="00402330" w:rsidRPr="00C43A5D">
              <w:rPr>
                <w:rFonts w:cs="Arial"/>
                <w:vertAlign w:val="superscript"/>
              </w:rPr>
              <w:t>1</w:t>
            </w:r>
            <w:r w:rsidR="00402330" w:rsidRPr="00C43A5D">
              <w:rPr>
                <w:rFonts w:cs="Arial"/>
              </w:rPr>
              <w:t xml:space="preserve"> </w:t>
            </w:r>
            <w:r w:rsidR="00402330" w:rsidRPr="00CD3B7F">
              <w:rPr>
                <w:rFonts w:cs="Arial"/>
              </w:rPr>
              <w:t>This audit will review compliance with some of the main recommendations made.</w:t>
            </w:r>
          </w:p>
        </w:tc>
      </w:tr>
      <w:tr w:rsidR="00402330" w:rsidRPr="00077B16" w14:paraId="0F7C86E3" w14:textId="77777777" w:rsidTr="00874EB1">
        <w:trPr>
          <w:trHeight w:val="20"/>
        </w:trPr>
        <w:tc>
          <w:tcPr>
            <w:tcW w:w="1838" w:type="dxa"/>
          </w:tcPr>
          <w:p w14:paraId="4492C55B" w14:textId="121BA009" w:rsidR="00402330" w:rsidRPr="009349D7" w:rsidRDefault="00402330" w:rsidP="00402330">
            <w:pPr>
              <w:pStyle w:val="Rowheading"/>
            </w:pPr>
            <w:r w:rsidRPr="009349D7">
              <w:t>Aim &amp; objectives</w:t>
            </w:r>
          </w:p>
        </w:tc>
        <w:tc>
          <w:tcPr>
            <w:tcW w:w="7790" w:type="dxa"/>
          </w:tcPr>
          <w:p w14:paraId="25337B05" w14:textId="77777777" w:rsidR="00402330" w:rsidRPr="00AE56C0" w:rsidRDefault="00402330" w:rsidP="00402330">
            <w:pPr>
              <w:rPr>
                <w:rFonts w:cs="Arial"/>
              </w:rPr>
            </w:pPr>
            <w:r w:rsidRPr="0043676E">
              <w:rPr>
                <w:rFonts w:cs="Arial"/>
              </w:rPr>
              <w:t xml:space="preserve">To </w:t>
            </w:r>
            <w:r w:rsidRPr="00AE56C0">
              <w:rPr>
                <w:rFonts w:cs="Arial"/>
              </w:rPr>
              <w:t>review whether:</w:t>
            </w:r>
          </w:p>
          <w:p w14:paraId="43033B05" w14:textId="38822B1E" w:rsidR="00402330" w:rsidRPr="00DE15B1" w:rsidRDefault="008123A7" w:rsidP="00C43A5D">
            <w:pPr>
              <w:pStyle w:val="ListParagraph"/>
              <w:numPr>
                <w:ilvl w:val="0"/>
                <w:numId w:val="19"/>
              </w:numPr>
              <w:ind w:left="425" w:hanging="425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402330">
              <w:rPr>
                <w:rFonts w:cs="Arial"/>
              </w:rPr>
              <w:t>ndividuals are u</w:t>
            </w:r>
            <w:r w:rsidR="00402330" w:rsidRPr="00DE15B1">
              <w:rPr>
                <w:rFonts w:cs="Arial"/>
              </w:rPr>
              <w:t>ndergoing appropriate laboratory investigations for disease diagnosis and monitoring</w:t>
            </w:r>
          </w:p>
          <w:p w14:paraId="6DFBFE3D" w14:textId="61C770D8" w:rsidR="00402330" w:rsidRPr="00DE15B1" w:rsidRDefault="008123A7" w:rsidP="00C43A5D">
            <w:pPr>
              <w:pStyle w:val="ListParagraph"/>
              <w:numPr>
                <w:ilvl w:val="0"/>
                <w:numId w:val="19"/>
              </w:numPr>
              <w:ind w:left="425" w:hanging="425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402330" w:rsidRPr="00DE15B1">
              <w:rPr>
                <w:rFonts w:cs="Arial"/>
              </w:rPr>
              <w:t xml:space="preserve">esting strategies </w:t>
            </w:r>
            <w:r w:rsidR="00402330">
              <w:rPr>
                <w:rFonts w:cs="Arial"/>
              </w:rPr>
              <w:t xml:space="preserve">are being implemented </w:t>
            </w:r>
            <w:r w:rsidR="00402330" w:rsidRPr="00DE15B1">
              <w:rPr>
                <w:rFonts w:cs="Arial"/>
              </w:rPr>
              <w:t>to further classify VWD in diagnosed individuals</w:t>
            </w:r>
          </w:p>
          <w:p w14:paraId="775558AD" w14:textId="3F73E13E" w:rsidR="00402330" w:rsidRPr="00DE15B1" w:rsidRDefault="008123A7" w:rsidP="00C43A5D">
            <w:pPr>
              <w:pStyle w:val="ListParagraph"/>
              <w:numPr>
                <w:ilvl w:val="0"/>
                <w:numId w:val="19"/>
              </w:numPr>
              <w:ind w:left="425" w:hanging="425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402330" w:rsidRPr="00DE15B1">
              <w:rPr>
                <w:rFonts w:cs="Arial"/>
              </w:rPr>
              <w:t>enetic or genomic tests are being performed to complement or confirm a diagnosis</w:t>
            </w:r>
          </w:p>
          <w:p w14:paraId="4DAA0B33" w14:textId="138DABBC" w:rsidR="00402330" w:rsidRPr="00781C28" w:rsidRDefault="008123A7" w:rsidP="00C43A5D">
            <w:pPr>
              <w:pStyle w:val="ListBullet"/>
              <w:tabs>
                <w:tab w:val="clear" w:pos="360"/>
              </w:tabs>
              <w:ind w:left="425" w:hanging="425"/>
              <w:contextualSpacing w:val="0"/>
            </w:pPr>
            <w:r>
              <w:rPr>
                <w:rFonts w:cs="Arial"/>
              </w:rPr>
              <w:t>a</w:t>
            </w:r>
            <w:r w:rsidR="00402330" w:rsidRPr="00DE15B1">
              <w:rPr>
                <w:rFonts w:cs="Arial"/>
              </w:rPr>
              <w:t>dequate laboratory tests are being performed to manage diagnosed individuals.</w:t>
            </w:r>
            <w:r w:rsidR="00402330">
              <w:rPr>
                <w:rFonts w:cs="Arial"/>
              </w:rPr>
              <w:t xml:space="preserve"> </w:t>
            </w:r>
          </w:p>
        </w:tc>
      </w:tr>
      <w:tr w:rsidR="00402330" w:rsidRPr="00077B16" w14:paraId="4FF25260" w14:textId="77777777" w:rsidTr="00874EB1">
        <w:trPr>
          <w:trHeight w:val="20"/>
        </w:trPr>
        <w:tc>
          <w:tcPr>
            <w:tcW w:w="1838" w:type="dxa"/>
          </w:tcPr>
          <w:p w14:paraId="374F6066" w14:textId="664AEB7E" w:rsidR="00402330" w:rsidRPr="009349D7" w:rsidRDefault="00402330" w:rsidP="00402330">
            <w:pPr>
              <w:pStyle w:val="Rowheading"/>
            </w:pPr>
            <w:r w:rsidRPr="009349D7">
              <w:t>Standards &amp; criteria</w:t>
            </w:r>
          </w:p>
        </w:tc>
        <w:tc>
          <w:tcPr>
            <w:tcW w:w="7790" w:type="dxa"/>
          </w:tcPr>
          <w:p w14:paraId="28DFF465" w14:textId="48F85860" w:rsidR="00402330" w:rsidRDefault="00402330" w:rsidP="00402330">
            <w:pPr>
              <w:rPr>
                <w:rFonts w:cs="Arial"/>
                <w:color w:val="000000"/>
              </w:rPr>
            </w:pPr>
            <w:r w:rsidRPr="00214694">
              <w:rPr>
                <w:rFonts w:cs="Arial"/>
                <w:b/>
                <w:bCs/>
                <w:color w:val="000000"/>
              </w:rPr>
              <w:t>Criteria range:</w:t>
            </w:r>
            <w:r w:rsidRPr="00214694">
              <w:rPr>
                <w:rFonts w:cs="Arial"/>
                <w:color w:val="000000"/>
              </w:rPr>
              <w:t xml:space="preserve"> 100%, or if not achieved, there is documentation in the case notes that explains the variance.</w:t>
            </w:r>
          </w:p>
          <w:p w14:paraId="3D26BD66" w14:textId="77777777" w:rsidR="008123A7" w:rsidRDefault="008123A7" w:rsidP="00402330">
            <w:pPr>
              <w:rPr>
                <w:rFonts w:cs="Arial"/>
                <w:color w:val="000000"/>
              </w:rPr>
            </w:pPr>
          </w:p>
          <w:p w14:paraId="32AF88B4" w14:textId="77777777" w:rsidR="00402330" w:rsidRPr="00C43A5D" w:rsidRDefault="00402330" w:rsidP="00402330">
            <w:pPr>
              <w:rPr>
                <w:rFonts w:cs="Arial"/>
                <w:b/>
                <w:bCs/>
                <w:color w:val="000000"/>
              </w:rPr>
            </w:pPr>
            <w:r w:rsidRPr="00C43A5D">
              <w:rPr>
                <w:rFonts w:cs="Arial"/>
                <w:b/>
                <w:bCs/>
                <w:color w:val="000000"/>
              </w:rPr>
              <w:lastRenderedPageBreak/>
              <w:t xml:space="preserve">Sample handling and transportation </w:t>
            </w:r>
          </w:p>
          <w:p w14:paraId="131C3C35" w14:textId="77777777" w:rsidR="00402330" w:rsidRPr="004460FD" w:rsidRDefault="00402330" w:rsidP="00C43A5D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/>
              </w:rPr>
            </w:pPr>
            <w:r w:rsidRPr="004460FD">
              <w:rPr>
                <w:rFonts w:cs="Arial"/>
                <w:color w:val="000000"/>
              </w:rPr>
              <w:t xml:space="preserve">Whole blood samples for coagulation tests should be maintained at an ambient temperature of 18–25°C during both transport and storage prior to processing. </w:t>
            </w:r>
          </w:p>
          <w:p w14:paraId="3D3E766D" w14:textId="77777777" w:rsidR="00402330" w:rsidRDefault="00402330" w:rsidP="00C43A5D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/>
              </w:rPr>
            </w:pPr>
            <w:r w:rsidRPr="00214694">
              <w:rPr>
                <w:rFonts w:cs="Arial"/>
                <w:color w:val="000000"/>
              </w:rPr>
              <w:t>The time between sample collection and testing (or freezing) of citrated plasma for VWD assays should be &lt;12 h</w:t>
            </w:r>
            <w:r>
              <w:rPr>
                <w:rFonts w:cs="Arial"/>
                <w:color w:val="000000"/>
              </w:rPr>
              <w:t>ours</w:t>
            </w:r>
            <w:r w:rsidRPr="00214694">
              <w:rPr>
                <w:rFonts w:cs="Arial"/>
                <w:color w:val="000000"/>
              </w:rPr>
              <w:t xml:space="preserve">. </w:t>
            </w:r>
          </w:p>
          <w:p w14:paraId="2051FDC7" w14:textId="77777777" w:rsidR="00402330" w:rsidRPr="00C43A5D" w:rsidRDefault="00402330" w:rsidP="00402330">
            <w:pPr>
              <w:rPr>
                <w:rFonts w:cs="Arial"/>
                <w:b/>
                <w:bCs/>
                <w:color w:val="000000"/>
              </w:rPr>
            </w:pPr>
            <w:r w:rsidRPr="00C43A5D">
              <w:rPr>
                <w:rFonts w:cs="Arial"/>
                <w:b/>
                <w:bCs/>
                <w:color w:val="000000"/>
              </w:rPr>
              <w:t>Initial laboratory investigations</w:t>
            </w:r>
          </w:p>
          <w:p w14:paraId="04818E64" w14:textId="1582E5EB" w:rsidR="00402330" w:rsidRPr="00476D88" w:rsidRDefault="00402330" w:rsidP="00C43A5D">
            <w:pPr>
              <w:pStyle w:val="ListParagraph"/>
              <w:numPr>
                <w:ilvl w:val="0"/>
                <w:numId w:val="21"/>
              </w:numPr>
              <w:ind w:left="425" w:hanging="425"/>
              <w:rPr>
                <w:rFonts w:cs="Arial"/>
                <w:color w:val="000000"/>
              </w:rPr>
            </w:pPr>
            <w:r w:rsidRPr="00476D88">
              <w:rPr>
                <w:rFonts w:cs="Arial"/>
                <w:color w:val="000000"/>
              </w:rPr>
              <w:t>A full blood count (FBC; including mean platelet volume) with a blood film for platelet morphology should be performed on all individuals being investigated for VWD or acquired von Willebrand syndrome (AVWS)</w:t>
            </w:r>
            <w:r w:rsidR="008123A7">
              <w:rPr>
                <w:rFonts w:cs="Arial"/>
                <w:color w:val="000000"/>
              </w:rPr>
              <w:t>.</w:t>
            </w:r>
          </w:p>
          <w:p w14:paraId="794056A9" w14:textId="382531DA" w:rsidR="00402330" w:rsidRDefault="00402330" w:rsidP="00C43A5D">
            <w:pPr>
              <w:pStyle w:val="ListParagraph"/>
              <w:numPr>
                <w:ilvl w:val="0"/>
                <w:numId w:val="21"/>
              </w:numPr>
              <w:ind w:left="425" w:hanging="425"/>
              <w:rPr>
                <w:rFonts w:cs="Arial"/>
                <w:color w:val="000000"/>
              </w:rPr>
            </w:pPr>
            <w:r w:rsidRPr="00214694">
              <w:rPr>
                <w:rFonts w:cs="Arial"/>
                <w:color w:val="000000"/>
              </w:rPr>
              <w:t>Assays for prothrombin time (PT), activated partial thromboplastin time (</w:t>
            </w:r>
            <w:r>
              <w:rPr>
                <w:rFonts w:cs="Arial"/>
                <w:color w:val="000000"/>
              </w:rPr>
              <w:t>A</w:t>
            </w:r>
            <w:r w:rsidRPr="00214694">
              <w:rPr>
                <w:rFonts w:cs="Arial"/>
                <w:color w:val="000000"/>
              </w:rPr>
              <w:t>PTT) and Clauss fibrinogen should be performed on all individuals being investigated for VWD/AVWS</w:t>
            </w:r>
            <w:r w:rsidR="008123A7">
              <w:rPr>
                <w:rFonts w:cs="Arial"/>
                <w:color w:val="000000"/>
              </w:rPr>
              <w:t>.</w:t>
            </w:r>
          </w:p>
          <w:p w14:paraId="34498469" w14:textId="77777777" w:rsidR="00402330" w:rsidRPr="00C43A5D" w:rsidRDefault="00402330" w:rsidP="00402330">
            <w:pPr>
              <w:rPr>
                <w:rFonts w:cs="Arial"/>
                <w:b/>
                <w:bCs/>
                <w:color w:val="000000"/>
              </w:rPr>
            </w:pPr>
            <w:r w:rsidRPr="00C43A5D">
              <w:rPr>
                <w:rFonts w:cs="Arial"/>
                <w:b/>
                <w:bCs/>
                <w:color w:val="000000"/>
              </w:rPr>
              <w:t>Initial diagnostic tests for VWD/AVWS</w:t>
            </w:r>
          </w:p>
          <w:p w14:paraId="03698318" w14:textId="77777777" w:rsidR="00402330" w:rsidRPr="00476D88" w:rsidRDefault="00402330" w:rsidP="00C43A5D">
            <w:pPr>
              <w:pStyle w:val="ListParagraph"/>
              <w:numPr>
                <w:ilvl w:val="0"/>
                <w:numId w:val="21"/>
              </w:numPr>
              <w:ind w:left="425" w:hanging="425"/>
              <w:rPr>
                <w:rFonts w:cs="Arial"/>
                <w:color w:val="000000"/>
              </w:rPr>
            </w:pPr>
            <w:r w:rsidRPr="00476D88">
              <w:rPr>
                <w:rFonts w:cs="Arial"/>
                <w:color w:val="000000"/>
              </w:rPr>
              <w:t>Initial investigations for VWD or AVWS should measure factor VIII activity (FVIII:C)</w:t>
            </w:r>
            <w:r>
              <w:rPr>
                <w:rFonts w:cs="Arial"/>
                <w:color w:val="000000"/>
              </w:rPr>
              <w:t xml:space="preserve"> by either one-stage clotting assay (OSCA) or chromogenic substrate assay (CSA)</w:t>
            </w:r>
            <w:r w:rsidRPr="00476D88">
              <w:rPr>
                <w:rFonts w:cs="Arial"/>
                <w:color w:val="000000"/>
              </w:rPr>
              <w:t>, VWF antigen</w:t>
            </w:r>
            <w:r>
              <w:rPr>
                <w:rFonts w:cs="Arial"/>
                <w:color w:val="000000"/>
              </w:rPr>
              <w:t xml:space="preserve"> (</w:t>
            </w:r>
            <w:proofErr w:type="spellStart"/>
            <w:r>
              <w:rPr>
                <w:rFonts w:cs="Arial"/>
                <w:color w:val="000000"/>
              </w:rPr>
              <w:t>VWF:Ag</w:t>
            </w:r>
            <w:proofErr w:type="spellEnd"/>
            <w:r>
              <w:rPr>
                <w:rFonts w:cs="Arial"/>
                <w:color w:val="000000"/>
              </w:rPr>
              <w:t>)</w:t>
            </w:r>
            <w:r w:rsidRPr="00476D88">
              <w:rPr>
                <w:rFonts w:cs="Arial"/>
                <w:color w:val="000000"/>
              </w:rPr>
              <w:t xml:space="preserve">, and VWF activity </w:t>
            </w:r>
            <w:r>
              <w:rPr>
                <w:rFonts w:cs="Arial"/>
                <w:color w:val="000000"/>
              </w:rPr>
              <w:t>(</w:t>
            </w:r>
            <w:r w:rsidRPr="009670E9">
              <w:rPr>
                <w:rFonts w:cs="Arial"/>
                <w:color w:val="000000"/>
              </w:rPr>
              <w:t xml:space="preserve">by </w:t>
            </w:r>
            <w:proofErr w:type="spellStart"/>
            <w:r w:rsidRPr="009670E9">
              <w:rPr>
                <w:rFonts w:cs="Arial"/>
                <w:color w:val="000000"/>
              </w:rPr>
              <w:t>VWF:RCo</w:t>
            </w:r>
            <w:proofErr w:type="spellEnd"/>
            <w:r>
              <w:rPr>
                <w:rFonts w:cs="Arial"/>
                <w:color w:val="000000"/>
              </w:rPr>
              <w:t xml:space="preserve">, </w:t>
            </w:r>
            <w:proofErr w:type="spellStart"/>
            <w:r w:rsidRPr="009670E9">
              <w:rPr>
                <w:rFonts w:cs="Arial"/>
                <w:color w:val="000000"/>
              </w:rPr>
              <w:t>VWF:GPIbR</w:t>
            </w:r>
            <w:proofErr w:type="spellEnd"/>
            <w:r w:rsidRPr="009670E9">
              <w:rPr>
                <w:rFonts w:cs="Arial"/>
                <w:color w:val="000000"/>
              </w:rPr>
              <w:t xml:space="preserve"> or </w:t>
            </w:r>
            <w:proofErr w:type="spellStart"/>
            <w:r w:rsidRPr="009670E9">
              <w:rPr>
                <w:rFonts w:cs="Arial"/>
                <w:color w:val="000000"/>
              </w:rPr>
              <w:t>VWF:GPIbM</w:t>
            </w:r>
            <w:proofErr w:type="spellEnd"/>
            <w:r>
              <w:rPr>
                <w:rFonts w:cs="Arial"/>
                <w:color w:val="000000"/>
              </w:rPr>
              <w:t>).</w:t>
            </w:r>
          </w:p>
          <w:p w14:paraId="01D6E61F" w14:textId="77777777" w:rsidR="00402330" w:rsidRDefault="00402330" w:rsidP="00C43A5D">
            <w:pPr>
              <w:pStyle w:val="ListParagraph"/>
              <w:numPr>
                <w:ilvl w:val="0"/>
                <w:numId w:val="21"/>
              </w:numPr>
              <w:ind w:left="425" w:hanging="425"/>
              <w:rPr>
                <w:rFonts w:cs="Arial"/>
                <w:color w:val="000000"/>
              </w:rPr>
            </w:pPr>
            <w:r w:rsidRPr="00214694">
              <w:rPr>
                <w:rFonts w:cs="Arial"/>
                <w:color w:val="000000"/>
              </w:rPr>
              <w:t>Laboratories should calibrate assays using plasmas that are traceable to the international standard for FVIII:C and for VWF, and results should be reported in IU/dL.</w:t>
            </w:r>
          </w:p>
          <w:p w14:paraId="2C46E1CB" w14:textId="77777777" w:rsidR="00402330" w:rsidRDefault="00402330" w:rsidP="00C43A5D">
            <w:pPr>
              <w:pStyle w:val="ListParagraph"/>
              <w:numPr>
                <w:ilvl w:val="0"/>
                <w:numId w:val="21"/>
              </w:numPr>
              <w:ind w:left="425" w:hanging="425"/>
              <w:rPr>
                <w:rFonts w:cs="Arial"/>
                <w:color w:val="000000"/>
              </w:rPr>
            </w:pPr>
            <w:r w:rsidRPr="00214694">
              <w:rPr>
                <w:rFonts w:cs="Arial"/>
                <w:color w:val="000000"/>
              </w:rPr>
              <w:t>Laboratories diagnosing type 3 VWD should verify that methods employed to measure VWF:</w:t>
            </w:r>
            <w:r w:rsidDel="00605C57">
              <w:rPr>
                <w:rFonts w:cs="Arial"/>
                <w:color w:val="000000"/>
              </w:rPr>
              <w:t xml:space="preserve"> </w:t>
            </w:r>
            <w:r w:rsidRPr="00214694">
              <w:rPr>
                <w:rFonts w:cs="Arial"/>
                <w:color w:val="000000"/>
              </w:rPr>
              <w:t>Ag are demonstrably capable of measuring to levels &lt;1</w:t>
            </w:r>
            <w:r>
              <w:rPr>
                <w:rFonts w:cs="Arial"/>
                <w:color w:val="000000"/>
              </w:rPr>
              <w:t> </w:t>
            </w:r>
            <w:r w:rsidRPr="00214694">
              <w:rPr>
                <w:rFonts w:cs="Arial"/>
                <w:color w:val="000000"/>
              </w:rPr>
              <w:t>IU/dL.</w:t>
            </w:r>
          </w:p>
          <w:p w14:paraId="3650FADF" w14:textId="77777777" w:rsidR="00402330" w:rsidRPr="00C43A5D" w:rsidRDefault="00402330" w:rsidP="00402330">
            <w:pPr>
              <w:rPr>
                <w:rFonts w:cs="Arial"/>
                <w:b/>
                <w:bCs/>
                <w:color w:val="000000"/>
              </w:rPr>
            </w:pPr>
            <w:r w:rsidRPr="00C43A5D">
              <w:rPr>
                <w:rFonts w:cs="Arial"/>
                <w:b/>
                <w:bCs/>
                <w:color w:val="000000"/>
              </w:rPr>
              <w:t>Additional investigations for VWD classification</w:t>
            </w:r>
          </w:p>
          <w:p w14:paraId="5BB50A7C" w14:textId="77777777" w:rsidR="00402330" w:rsidRPr="00476D88" w:rsidRDefault="00402330" w:rsidP="00C43A5D">
            <w:pPr>
              <w:pStyle w:val="ListParagraph"/>
              <w:numPr>
                <w:ilvl w:val="0"/>
                <w:numId w:val="21"/>
              </w:numPr>
              <w:ind w:left="425" w:hanging="425"/>
              <w:rPr>
                <w:rFonts w:cs="Arial"/>
                <w:color w:val="000000"/>
              </w:rPr>
            </w:pPr>
            <w:r w:rsidRPr="00476D88">
              <w:rPr>
                <w:rFonts w:cs="Arial"/>
                <w:color w:val="000000"/>
              </w:rPr>
              <w:t>Multimer analysis should only be performed in specialised haemostasis laboratories with experience of performing the analysis and interpretation of the results, and which participate in appropriate external quality assessment (EQA).</w:t>
            </w:r>
          </w:p>
          <w:p w14:paraId="4B603035" w14:textId="77777777" w:rsidR="00402330" w:rsidRDefault="00402330" w:rsidP="00C43A5D">
            <w:pPr>
              <w:pStyle w:val="ListParagraph"/>
              <w:numPr>
                <w:ilvl w:val="0"/>
                <w:numId w:val="21"/>
              </w:numPr>
              <w:ind w:left="425" w:hanging="425"/>
              <w:rPr>
                <w:rFonts w:cs="Arial"/>
                <w:color w:val="000000"/>
              </w:rPr>
            </w:pPr>
            <w:r w:rsidRPr="00214694">
              <w:rPr>
                <w:rFonts w:cs="Arial"/>
                <w:color w:val="000000"/>
              </w:rPr>
              <w:lastRenderedPageBreak/>
              <w:t>Individuals with a newly identified reduced FVIII:C/</w:t>
            </w:r>
            <w:proofErr w:type="spellStart"/>
            <w:r w:rsidRPr="00214694">
              <w:rPr>
                <w:rFonts w:cs="Arial"/>
                <w:color w:val="000000"/>
              </w:rPr>
              <w:t>VWF:Ag</w:t>
            </w:r>
            <w:proofErr w:type="spellEnd"/>
            <w:r w:rsidRPr="00214694">
              <w:rPr>
                <w:rFonts w:cs="Arial"/>
                <w:color w:val="000000"/>
              </w:rPr>
              <w:t xml:space="preserve"> ratio should undergo genetic testing for suspected type 2N VWD</w:t>
            </w:r>
            <w:r>
              <w:rPr>
                <w:rFonts w:cs="Arial"/>
                <w:color w:val="000000"/>
              </w:rPr>
              <w:t xml:space="preserve"> and/or haemophilia A</w:t>
            </w:r>
            <w:r w:rsidRPr="00214694">
              <w:rPr>
                <w:rFonts w:cs="Arial"/>
                <w:color w:val="000000"/>
              </w:rPr>
              <w:t xml:space="preserve">. </w:t>
            </w:r>
          </w:p>
          <w:p w14:paraId="44263014" w14:textId="77777777" w:rsidR="00402330" w:rsidRDefault="00402330" w:rsidP="00C43A5D">
            <w:pPr>
              <w:pStyle w:val="ListParagraph"/>
              <w:numPr>
                <w:ilvl w:val="0"/>
                <w:numId w:val="21"/>
              </w:numPr>
              <w:ind w:left="425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</w:t>
            </w:r>
            <w:r w:rsidRPr="00214694">
              <w:rPr>
                <w:rFonts w:cs="Arial"/>
                <w:color w:val="000000"/>
              </w:rPr>
              <w:t>ndividuals with suspected type 2B VWD or platelet-type von Willebrand disease (PT-VWD)</w:t>
            </w:r>
            <w:r>
              <w:rPr>
                <w:rFonts w:cs="Arial"/>
                <w:color w:val="000000"/>
              </w:rPr>
              <w:t xml:space="preserve"> should undergo genetic testing</w:t>
            </w:r>
            <w:r w:rsidRPr="00214694">
              <w:rPr>
                <w:rFonts w:cs="Arial"/>
                <w:color w:val="000000"/>
              </w:rPr>
              <w:t>.</w:t>
            </w:r>
          </w:p>
          <w:p w14:paraId="080F4C68" w14:textId="77777777" w:rsidR="00402330" w:rsidRDefault="00402330" w:rsidP="00C43A5D">
            <w:pPr>
              <w:pStyle w:val="ListParagraph"/>
              <w:numPr>
                <w:ilvl w:val="0"/>
                <w:numId w:val="21"/>
              </w:numPr>
              <w:ind w:left="425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</w:t>
            </w:r>
            <w:r w:rsidRPr="00214694">
              <w:rPr>
                <w:rFonts w:cs="Arial"/>
                <w:color w:val="000000"/>
              </w:rPr>
              <w:t>ndividuals with reduced VWF half-life to desmopressin</w:t>
            </w:r>
            <w:r>
              <w:rPr>
                <w:rFonts w:cs="Arial"/>
                <w:color w:val="000000"/>
              </w:rPr>
              <w:t xml:space="preserve"> (DDAVP) should undergo genetic testing for VWD-Vicenza</w:t>
            </w:r>
            <w:r w:rsidRPr="00214694">
              <w:rPr>
                <w:rFonts w:cs="Arial"/>
                <w:color w:val="000000"/>
              </w:rPr>
              <w:t>.</w:t>
            </w:r>
          </w:p>
          <w:p w14:paraId="4DF2DCCA" w14:textId="77777777" w:rsidR="00402330" w:rsidRPr="00C43A5D" w:rsidRDefault="00402330" w:rsidP="00402330">
            <w:pPr>
              <w:rPr>
                <w:rFonts w:cs="Arial"/>
                <w:b/>
                <w:bCs/>
                <w:color w:val="000000"/>
              </w:rPr>
            </w:pPr>
            <w:r w:rsidRPr="00C43A5D">
              <w:rPr>
                <w:rFonts w:cs="Arial"/>
                <w:b/>
                <w:bCs/>
                <w:color w:val="000000"/>
              </w:rPr>
              <w:t>Genetic or genomic testing</w:t>
            </w:r>
          </w:p>
          <w:p w14:paraId="790D1542" w14:textId="77777777" w:rsidR="00402330" w:rsidRPr="00476D88" w:rsidRDefault="00402330" w:rsidP="00C43A5D">
            <w:pPr>
              <w:pStyle w:val="ListParagraph"/>
              <w:numPr>
                <w:ilvl w:val="0"/>
                <w:numId w:val="21"/>
              </w:numPr>
              <w:ind w:left="425" w:hanging="425"/>
              <w:rPr>
                <w:rFonts w:cs="Arial"/>
                <w:color w:val="000000"/>
              </w:rPr>
            </w:pPr>
            <w:r w:rsidRPr="00476D88">
              <w:rPr>
                <w:rFonts w:cs="Arial"/>
                <w:color w:val="000000"/>
              </w:rPr>
              <w:t>Informed consent must be obtained prior to referral of an individual for genetic testing, including providing information regarding potential incidental findings.</w:t>
            </w:r>
          </w:p>
          <w:p w14:paraId="05F58A0E" w14:textId="77777777" w:rsidR="00402330" w:rsidRPr="00687FAA" w:rsidRDefault="00402330" w:rsidP="00C43A5D">
            <w:pPr>
              <w:pStyle w:val="ListParagraph"/>
              <w:numPr>
                <w:ilvl w:val="0"/>
                <w:numId w:val="21"/>
              </w:numPr>
              <w:ind w:left="425" w:hanging="425"/>
              <w:rPr>
                <w:rFonts w:cs="Arial"/>
                <w:color w:val="000000"/>
              </w:rPr>
            </w:pPr>
            <w:r w:rsidRPr="002F699A">
              <w:rPr>
                <w:rFonts w:cs="Arial"/>
                <w:color w:val="000000"/>
              </w:rPr>
              <w:t>Interpretive reports should follow American College of Medical Genetics and Genomics (ACMG</w:t>
            </w:r>
            <w:proofErr w:type="gramStart"/>
            <w:r w:rsidRPr="002F699A">
              <w:rPr>
                <w:rFonts w:cs="Arial"/>
                <w:color w:val="000000"/>
              </w:rPr>
              <w:t>)</w:t>
            </w:r>
            <w:proofErr w:type="gramEnd"/>
            <w:r>
              <w:rPr>
                <w:rFonts w:cs="Arial"/>
                <w:color w:val="000000"/>
              </w:rPr>
              <w:t xml:space="preserve"> </w:t>
            </w:r>
            <w:r w:rsidRPr="002F699A">
              <w:rPr>
                <w:rFonts w:cs="Arial"/>
                <w:color w:val="000000"/>
              </w:rPr>
              <w:t>and Association for Clinical Genomic Science (ACGS) guidelines and variants described according to the Human Genome Variation Society (HGVS) nomenclature.</w:t>
            </w:r>
          </w:p>
          <w:p w14:paraId="37BDDEFA" w14:textId="77777777" w:rsidR="00402330" w:rsidRPr="00C43A5D" w:rsidRDefault="00402330" w:rsidP="00402330">
            <w:pPr>
              <w:rPr>
                <w:rFonts w:cs="Arial"/>
                <w:b/>
                <w:bCs/>
                <w:color w:val="000000"/>
              </w:rPr>
            </w:pPr>
            <w:r w:rsidRPr="00C43A5D">
              <w:rPr>
                <w:rFonts w:cs="Arial"/>
                <w:b/>
                <w:bCs/>
                <w:color w:val="000000"/>
              </w:rPr>
              <w:t>Laboratory testing to guide management</w:t>
            </w:r>
          </w:p>
          <w:p w14:paraId="0A1FF6E3" w14:textId="77777777" w:rsidR="00402330" w:rsidRPr="00476D88" w:rsidRDefault="00402330" w:rsidP="00C43A5D">
            <w:pPr>
              <w:pStyle w:val="ListParagraph"/>
              <w:numPr>
                <w:ilvl w:val="0"/>
                <w:numId w:val="21"/>
              </w:numPr>
              <w:ind w:left="425" w:hanging="425"/>
              <w:rPr>
                <w:rFonts w:cs="Arial"/>
                <w:color w:val="000000"/>
              </w:rPr>
            </w:pPr>
            <w:r w:rsidRPr="00476D88">
              <w:rPr>
                <w:rFonts w:cs="Arial"/>
                <w:color w:val="000000"/>
              </w:rPr>
              <w:t xml:space="preserve">For pregnant individuals with VWD, </w:t>
            </w:r>
            <w:r>
              <w:rPr>
                <w:rFonts w:cs="Arial"/>
                <w:color w:val="000000"/>
              </w:rPr>
              <w:t xml:space="preserve">and to assess response to DDAVP, </w:t>
            </w:r>
            <w:r w:rsidRPr="00476D88">
              <w:rPr>
                <w:rFonts w:cs="Arial"/>
                <w:color w:val="000000"/>
              </w:rPr>
              <w:t xml:space="preserve">FVIII:C (by OSCA or CSA), VWF activity (by </w:t>
            </w:r>
            <w:proofErr w:type="spellStart"/>
            <w:r w:rsidRPr="00476D88">
              <w:rPr>
                <w:rFonts w:cs="Arial"/>
                <w:color w:val="000000"/>
              </w:rPr>
              <w:t>VWF:RCo</w:t>
            </w:r>
            <w:proofErr w:type="spellEnd"/>
            <w:r w:rsidRPr="00476D88">
              <w:rPr>
                <w:rFonts w:cs="Arial"/>
                <w:color w:val="000000"/>
              </w:rPr>
              <w:t xml:space="preserve"> or </w:t>
            </w:r>
            <w:proofErr w:type="spellStart"/>
            <w:r w:rsidRPr="00476D88">
              <w:rPr>
                <w:rFonts w:cs="Arial"/>
                <w:color w:val="000000"/>
              </w:rPr>
              <w:t>VWF:GPIbR</w:t>
            </w:r>
            <w:proofErr w:type="spellEnd"/>
            <w:r w:rsidRPr="00476D88">
              <w:rPr>
                <w:rFonts w:cs="Arial"/>
                <w:color w:val="000000"/>
              </w:rPr>
              <w:t xml:space="preserve"> or </w:t>
            </w:r>
            <w:proofErr w:type="spellStart"/>
            <w:r w:rsidRPr="00476D88">
              <w:rPr>
                <w:rFonts w:cs="Arial"/>
                <w:color w:val="000000"/>
              </w:rPr>
              <w:t>VWF:GPIbM</w:t>
            </w:r>
            <w:proofErr w:type="spellEnd"/>
            <w:r w:rsidRPr="00476D88">
              <w:rPr>
                <w:rFonts w:cs="Arial"/>
                <w:color w:val="000000"/>
              </w:rPr>
              <w:t xml:space="preserve">) and </w:t>
            </w:r>
            <w:proofErr w:type="spellStart"/>
            <w:r w:rsidRPr="00476D88">
              <w:rPr>
                <w:rFonts w:cs="Arial"/>
                <w:color w:val="000000"/>
              </w:rPr>
              <w:t>VWF:Ag</w:t>
            </w:r>
            <w:proofErr w:type="spellEnd"/>
            <w:r w:rsidRPr="00476D88">
              <w:rPr>
                <w:rFonts w:cs="Arial"/>
                <w:color w:val="000000"/>
              </w:rPr>
              <w:t xml:space="preserve"> should be measured</w:t>
            </w:r>
            <w:r>
              <w:rPr>
                <w:rFonts w:cs="Arial"/>
                <w:color w:val="000000"/>
              </w:rPr>
              <w:t>.</w:t>
            </w:r>
          </w:p>
          <w:p w14:paraId="074F22AF" w14:textId="77777777" w:rsidR="00402330" w:rsidRPr="009670E9" w:rsidRDefault="00402330" w:rsidP="00C43A5D">
            <w:pPr>
              <w:pStyle w:val="ListParagraph"/>
              <w:numPr>
                <w:ilvl w:val="0"/>
                <w:numId w:val="21"/>
              </w:numPr>
              <w:ind w:left="425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To assess r</w:t>
            </w:r>
            <w:r w:rsidRPr="00214694">
              <w:rPr>
                <w:rFonts w:cs="Arial"/>
                <w:color w:val="000000"/>
              </w:rPr>
              <w:t>esponse to VWF concentrate in individuals with VWD</w:t>
            </w:r>
            <w:r>
              <w:rPr>
                <w:rFonts w:cs="Arial"/>
                <w:color w:val="000000"/>
              </w:rPr>
              <w:t>,</w:t>
            </w:r>
            <w:r w:rsidRPr="00214694">
              <w:rPr>
                <w:rFonts w:cs="Arial"/>
                <w:color w:val="000000"/>
              </w:rPr>
              <w:t xml:space="preserve"> FVIII:C </w:t>
            </w:r>
            <w:r>
              <w:rPr>
                <w:rFonts w:cs="Arial"/>
                <w:color w:val="000000"/>
              </w:rPr>
              <w:t>(</w:t>
            </w:r>
            <w:r w:rsidRPr="00214694">
              <w:rPr>
                <w:rFonts w:cs="Arial"/>
                <w:color w:val="000000"/>
              </w:rPr>
              <w:t xml:space="preserve">by </w:t>
            </w:r>
            <w:proofErr w:type="spellStart"/>
            <w:r w:rsidRPr="009670E9">
              <w:rPr>
                <w:rFonts w:cs="Arial"/>
                <w:color w:val="000000"/>
              </w:rPr>
              <w:t>OSCAor</w:t>
            </w:r>
            <w:proofErr w:type="spellEnd"/>
            <w:r w:rsidRPr="009670E9">
              <w:rPr>
                <w:rFonts w:cs="Arial"/>
                <w:color w:val="000000"/>
              </w:rPr>
              <w:t xml:space="preserve"> CSA</w:t>
            </w:r>
            <w:r>
              <w:rPr>
                <w:rFonts w:cs="Arial"/>
                <w:color w:val="000000"/>
              </w:rPr>
              <w:t xml:space="preserve">), </w:t>
            </w:r>
            <w:r w:rsidRPr="009670E9">
              <w:rPr>
                <w:rFonts w:cs="Arial"/>
                <w:color w:val="000000"/>
              </w:rPr>
              <w:t xml:space="preserve">and VWF activity </w:t>
            </w:r>
            <w:r>
              <w:rPr>
                <w:rFonts w:cs="Arial"/>
                <w:color w:val="000000"/>
              </w:rPr>
              <w:t>(</w:t>
            </w:r>
            <w:r w:rsidRPr="009670E9">
              <w:rPr>
                <w:rFonts w:cs="Arial"/>
                <w:color w:val="000000"/>
              </w:rPr>
              <w:t xml:space="preserve">by </w:t>
            </w:r>
            <w:proofErr w:type="spellStart"/>
            <w:r w:rsidRPr="009670E9">
              <w:rPr>
                <w:rFonts w:cs="Arial"/>
                <w:color w:val="000000"/>
              </w:rPr>
              <w:t>VWF:RCo</w:t>
            </w:r>
            <w:proofErr w:type="spellEnd"/>
            <w:r>
              <w:rPr>
                <w:rFonts w:cs="Arial"/>
                <w:color w:val="000000"/>
              </w:rPr>
              <w:t xml:space="preserve">, </w:t>
            </w:r>
            <w:proofErr w:type="spellStart"/>
            <w:r w:rsidRPr="009670E9">
              <w:rPr>
                <w:rFonts w:cs="Arial"/>
                <w:color w:val="000000"/>
              </w:rPr>
              <w:t>VWF:GPIbR</w:t>
            </w:r>
            <w:proofErr w:type="spellEnd"/>
            <w:r w:rsidRPr="009670E9">
              <w:rPr>
                <w:rFonts w:cs="Arial"/>
                <w:color w:val="000000"/>
              </w:rPr>
              <w:t xml:space="preserve"> or </w:t>
            </w:r>
            <w:proofErr w:type="spellStart"/>
            <w:r w:rsidRPr="009670E9">
              <w:rPr>
                <w:rFonts w:cs="Arial"/>
                <w:color w:val="000000"/>
              </w:rPr>
              <w:t>VWF:GPIbM</w:t>
            </w:r>
            <w:proofErr w:type="spellEnd"/>
            <w:r>
              <w:rPr>
                <w:rFonts w:cs="Arial"/>
                <w:color w:val="000000"/>
              </w:rPr>
              <w:t>) should be measured</w:t>
            </w:r>
            <w:r w:rsidRPr="009670E9">
              <w:rPr>
                <w:rFonts w:cs="Arial"/>
                <w:color w:val="000000"/>
              </w:rPr>
              <w:t>.</w:t>
            </w:r>
          </w:p>
          <w:p w14:paraId="44E2E830" w14:textId="5AAE5E25" w:rsidR="00402330" w:rsidRPr="009349D7" w:rsidRDefault="00402330" w:rsidP="008123A7">
            <w:pPr>
              <w:pStyle w:val="ListParagraph"/>
              <w:tabs>
                <w:tab w:val="clear" w:pos="360"/>
              </w:tabs>
            </w:pPr>
            <w:r w:rsidRPr="00214694">
              <w:rPr>
                <w:rFonts w:cs="Arial"/>
                <w:color w:val="000000"/>
              </w:rPr>
              <w:t xml:space="preserve">To exclude a diagnosis </w:t>
            </w:r>
            <w:r>
              <w:rPr>
                <w:rFonts w:cs="Arial"/>
                <w:color w:val="000000"/>
              </w:rPr>
              <w:t xml:space="preserve">of type 3 or severe type 2 VWD </w:t>
            </w:r>
            <w:r w:rsidRPr="00214694">
              <w:rPr>
                <w:rFonts w:cs="Arial"/>
                <w:color w:val="000000"/>
              </w:rPr>
              <w:t xml:space="preserve">in neonates or infants, FVIII:C (by OSCA or CSA), VWF activity (by </w:t>
            </w:r>
            <w:proofErr w:type="spellStart"/>
            <w:r w:rsidRPr="00214694">
              <w:rPr>
                <w:rFonts w:cs="Arial"/>
                <w:color w:val="000000"/>
              </w:rPr>
              <w:t>VWF:RCo</w:t>
            </w:r>
            <w:proofErr w:type="spellEnd"/>
            <w:r w:rsidRPr="00214694">
              <w:rPr>
                <w:rFonts w:cs="Arial"/>
                <w:color w:val="000000"/>
              </w:rPr>
              <w:t xml:space="preserve"> or </w:t>
            </w:r>
            <w:proofErr w:type="spellStart"/>
            <w:r w:rsidRPr="00214694">
              <w:rPr>
                <w:rFonts w:cs="Arial"/>
                <w:color w:val="000000"/>
              </w:rPr>
              <w:t>VWF:GPIbR</w:t>
            </w:r>
            <w:proofErr w:type="spellEnd"/>
            <w:r w:rsidRPr="00214694">
              <w:rPr>
                <w:rFonts w:cs="Arial"/>
                <w:color w:val="000000"/>
              </w:rPr>
              <w:t xml:space="preserve"> or </w:t>
            </w:r>
            <w:proofErr w:type="spellStart"/>
            <w:r w:rsidRPr="00214694">
              <w:rPr>
                <w:rFonts w:cs="Arial"/>
                <w:color w:val="000000"/>
              </w:rPr>
              <w:t>VWF:GPIbM</w:t>
            </w:r>
            <w:proofErr w:type="spellEnd"/>
            <w:r w:rsidRPr="00214694">
              <w:rPr>
                <w:rFonts w:cs="Arial"/>
                <w:color w:val="000000"/>
              </w:rPr>
              <w:t xml:space="preserve">) and </w:t>
            </w:r>
            <w:proofErr w:type="spellStart"/>
            <w:r w:rsidRPr="00214694">
              <w:rPr>
                <w:rFonts w:cs="Arial"/>
                <w:color w:val="000000"/>
              </w:rPr>
              <w:t>VWF:Ag</w:t>
            </w:r>
            <w:proofErr w:type="spellEnd"/>
            <w:r w:rsidRPr="00214694">
              <w:rPr>
                <w:rFonts w:cs="Arial"/>
                <w:color w:val="000000"/>
              </w:rPr>
              <w:t xml:space="preserve"> should be measured.</w:t>
            </w:r>
          </w:p>
        </w:tc>
      </w:tr>
      <w:tr w:rsidR="00402330" w:rsidRPr="00077B16" w14:paraId="14094681" w14:textId="77777777" w:rsidTr="00874EB1">
        <w:trPr>
          <w:trHeight w:val="20"/>
        </w:trPr>
        <w:tc>
          <w:tcPr>
            <w:tcW w:w="1838" w:type="dxa"/>
          </w:tcPr>
          <w:p w14:paraId="1E4F1E05" w14:textId="77777777" w:rsidR="00402330" w:rsidRPr="009349D7" w:rsidRDefault="00402330" w:rsidP="00402330">
            <w:pPr>
              <w:pStyle w:val="Rowheading"/>
            </w:pPr>
            <w:r w:rsidRPr="009349D7">
              <w:lastRenderedPageBreak/>
              <w:t>Method</w:t>
            </w:r>
          </w:p>
          <w:p w14:paraId="5C3F63EE" w14:textId="77777777" w:rsidR="00402330" w:rsidRPr="009349D7" w:rsidRDefault="00402330" w:rsidP="00402330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790" w:type="dxa"/>
          </w:tcPr>
          <w:p w14:paraId="7E199738" w14:textId="1A7C3F8C" w:rsidR="00402330" w:rsidRDefault="00402330" w:rsidP="00402330">
            <w:pPr>
              <w:pStyle w:val="ColorfulList-Accent11"/>
              <w:tabs>
                <w:tab w:val="left" w:pos="0"/>
              </w:tabs>
              <w:ind w:left="0"/>
              <w:rPr>
                <w:rFonts w:cs="Arial"/>
              </w:rPr>
            </w:pPr>
            <w:r w:rsidRPr="00560923">
              <w:rPr>
                <w:rFonts w:cs="Arial"/>
                <w:b/>
              </w:rPr>
              <w:t>Sample selection</w:t>
            </w:r>
          </w:p>
          <w:p w14:paraId="36CB3129" w14:textId="77777777" w:rsidR="00402330" w:rsidRDefault="00402330" w:rsidP="00402330">
            <w:pPr>
              <w:pStyle w:val="ColorfulList-Accent11"/>
              <w:tabs>
                <w:tab w:val="left" w:pos="0"/>
              </w:tabs>
              <w:ind w:left="0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F32267">
              <w:rPr>
                <w:rFonts w:cs="Arial"/>
              </w:rPr>
              <w:t xml:space="preserve">onsecutive patients with VWD seen as outpatients or inpatients in the preceding 3–6 months, up to a maximum of 50 </w:t>
            </w:r>
            <w:r>
              <w:rPr>
                <w:rFonts w:cs="Arial"/>
              </w:rPr>
              <w:t xml:space="preserve">patients </w:t>
            </w:r>
          </w:p>
          <w:p w14:paraId="2E47D027" w14:textId="33CDB751" w:rsidR="00402330" w:rsidRPr="009349D7" w:rsidRDefault="00402330" w:rsidP="00402330">
            <w:pPr>
              <w:rPr>
                <w:color w:val="000000"/>
              </w:rPr>
            </w:pPr>
            <w:r w:rsidRPr="00560923">
              <w:rPr>
                <w:rFonts w:cs="Arial"/>
                <w:b/>
                <w:bCs/>
              </w:rPr>
              <w:t>Data to be collected on proforma (see below)</w:t>
            </w:r>
          </w:p>
        </w:tc>
      </w:tr>
      <w:tr w:rsidR="00402330" w:rsidRPr="00077B16" w14:paraId="4EF29E2B" w14:textId="77777777" w:rsidTr="00874EB1">
        <w:trPr>
          <w:trHeight w:val="20"/>
        </w:trPr>
        <w:tc>
          <w:tcPr>
            <w:tcW w:w="1838" w:type="dxa"/>
          </w:tcPr>
          <w:p w14:paraId="42E290A4" w14:textId="77777777" w:rsidR="00402330" w:rsidRPr="009349D7" w:rsidRDefault="00402330" w:rsidP="00402330">
            <w:pPr>
              <w:pStyle w:val="Rowheading"/>
            </w:pPr>
            <w:r w:rsidRPr="009349D7">
              <w:t>Results</w:t>
            </w:r>
          </w:p>
        </w:tc>
        <w:tc>
          <w:tcPr>
            <w:tcW w:w="7790" w:type="dxa"/>
          </w:tcPr>
          <w:p w14:paraId="08D3ABE3" w14:textId="77777777" w:rsidR="00402330" w:rsidRPr="009349D7" w:rsidRDefault="00402330" w:rsidP="00402330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402330" w:rsidRPr="009349D7" w:rsidRDefault="00402330" w:rsidP="00402330">
            <w:r w:rsidRPr="009349D7">
              <w:lastRenderedPageBreak/>
              <w:t>The results of this audit show the following compliance with the standards</w:t>
            </w:r>
            <w:r>
              <w:t>.</w:t>
            </w:r>
          </w:p>
          <w:tbl>
            <w:tblPr>
              <w:tblW w:w="75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1134"/>
              <w:gridCol w:w="1417"/>
              <w:gridCol w:w="1581"/>
            </w:tblGrid>
            <w:tr w:rsidR="00CA67FB" w:rsidRPr="007E0C14" w14:paraId="2582D5DA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2A54EF53" w14:textId="77777777" w:rsidR="00402330" w:rsidRPr="00C43A5D" w:rsidRDefault="00402330" w:rsidP="00402330">
                  <w:pPr>
                    <w:rPr>
                      <w:rFonts w:cs="Arial"/>
                      <w:b/>
                      <w:color w:val="000000"/>
                      <w:szCs w:val="24"/>
                    </w:rPr>
                  </w:pPr>
                  <w:r w:rsidRPr="00C43A5D">
                    <w:rPr>
                      <w:rFonts w:cs="Arial"/>
                      <w:b/>
                      <w:color w:val="000000"/>
                      <w:szCs w:val="24"/>
                    </w:rPr>
                    <w:t>Investigation</w:t>
                  </w:r>
                </w:p>
              </w:tc>
              <w:tc>
                <w:tcPr>
                  <w:tcW w:w="1134" w:type="dxa"/>
                </w:tcPr>
                <w:p w14:paraId="176E1CD8" w14:textId="77777777" w:rsidR="00402330" w:rsidRPr="00C43A5D" w:rsidRDefault="00402330" w:rsidP="00402330">
                  <w:pPr>
                    <w:rPr>
                      <w:rFonts w:cs="Arial"/>
                      <w:b/>
                      <w:color w:val="000000"/>
                      <w:szCs w:val="24"/>
                    </w:rPr>
                  </w:pPr>
                  <w:r w:rsidRPr="00C43A5D">
                    <w:rPr>
                      <w:rFonts w:cs="Arial"/>
                      <w:b/>
                      <w:color w:val="000000"/>
                      <w:szCs w:val="24"/>
                    </w:rPr>
                    <w:t>No. audited</w:t>
                  </w:r>
                </w:p>
              </w:tc>
              <w:tc>
                <w:tcPr>
                  <w:tcW w:w="1417" w:type="dxa"/>
                </w:tcPr>
                <w:p w14:paraId="76554E33" w14:textId="77777777" w:rsidR="00402330" w:rsidRPr="00C43A5D" w:rsidRDefault="00402330" w:rsidP="00402330">
                  <w:pPr>
                    <w:rPr>
                      <w:rFonts w:cs="Arial"/>
                      <w:b/>
                      <w:color w:val="000000"/>
                      <w:szCs w:val="24"/>
                    </w:rPr>
                  </w:pPr>
                  <w:r w:rsidRPr="00C43A5D">
                    <w:rPr>
                      <w:rFonts w:cs="Arial"/>
                      <w:b/>
                      <w:color w:val="000000"/>
                      <w:szCs w:val="24"/>
                    </w:rPr>
                    <w:t>No. compliant</w:t>
                  </w:r>
                </w:p>
              </w:tc>
              <w:tc>
                <w:tcPr>
                  <w:tcW w:w="1581" w:type="dxa"/>
                </w:tcPr>
                <w:p w14:paraId="41A60286" w14:textId="77777777" w:rsidR="00402330" w:rsidRPr="00C43A5D" w:rsidRDefault="00402330" w:rsidP="00402330">
                  <w:pPr>
                    <w:rPr>
                      <w:rFonts w:cs="Arial"/>
                      <w:b/>
                      <w:color w:val="000000"/>
                      <w:szCs w:val="24"/>
                    </w:rPr>
                  </w:pPr>
                  <w:r w:rsidRPr="00C43A5D">
                    <w:rPr>
                      <w:rFonts w:cs="Arial"/>
                      <w:b/>
                      <w:color w:val="000000"/>
                      <w:szCs w:val="24"/>
                    </w:rPr>
                    <w:t>% compliance</w:t>
                  </w:r>
                </w:p>
              </w:tc>
            </w:tr>
            <w:tr w:rsidR="00402330" w:rsidRPr="00A03881" w14:paraId="7BB5383A" w14:textId="77777777" w:rsidTr="00C43A5D">
              <w:tc>
                <w:tcPr>
                  <w:tcW w:w="7564" w:type="dxa"/>
                  <w:gridSpan w:val="4"/>
                  <w:shd w:val="clear" w:color="auto" w:fill="FFFFFF" w:themeFill="background1"/>
                </w:tcPr>
                <w:p w14:paraId="70655D32" w14:textId="77777777" w:rsidR="00402330" w:rsidRPr="00C43A5D" w:rsidRDefault="00402330" w:rsidP="00402330">
                  <w:pPr>
                    <w:rPr>
                      <w:rFonts w:cs="Arial"/>
                      <w:b/>
                      <w:bCs/>
                      <w:color w:val="0000FF"/>
                    </w:rPr>
                  </w:pPr>
                  <w:r w:rsidRPr="00C43A5D">
                    <w:rPr>
                      <w:rFonts w:cs="Arial"/>
                      <w:b/>
                      <w:bCs/>
                    </w:rPr>
                    <w:t xml:space="preserve">Sample handling and transportation  </w:t>
                  </w:r>
                </w:p>
              </w:tc>
            </w:tr>
            <w:tr w:rsidR="00CA67FB" w:rsidRPr="00C80194" w14:paraId="7B1CE632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723B0D04" w14:textId="21591975" w:rsidR="00402330" w:rsidRPr="0040768D" w:rsidRDefault="00402330" w:rsidP="00402330">
                  <w:pPr>
                    <w:rPr>
                      <w:rFonts w:cs="Arial"/>
                    </w:rPr>
                  </w:pPr>
                  <w:r w:rsidRPr="0040768D">
                    <w:rPr>
                      <w:rFonts w:cs="Arial"/>
                    </w:rPr>
                    <w:t xml:space="preserve">Whole blood samples for coagulation tests </w:t>
                  </w:r>
                  <w:r>
                    <w:rPr>
                      <w:rFonts w:cs="Arial"/>
                    </w:rPr>
                    <w:t>were</w:t>
                  </w:r>
                  <w:r w:rsidRPr="0040768D">
                    <w:rPr>
                      <w:rFonts w:cs="Arial"/>
                    </w:rPr>
                    <w:t xml:space="preserve"> maintained at an ambient temperature of 18</w:t>
                  </w:r>
                  <w:r w:rsidR="00CA67FB">
                    <w:rPr>
                      <w:rFonts w:cs="Arial"/>
                    </w:rPr>
                    <w:t>–</w:t>
                  </w:r>
                  <w:r w:rsidRPr="00F63FEE">
                    <w:rPr>
                      <w:rFonts w:cs="Arial"/>
                      <w:w w:val="1"/>
                    </w:rPr>
                    <w:t> </w:t>
                  </w:r>
                  <w:r w:rsidRPr="0040768D">
                    <w:rPr>
                      <w:rFonts w:cs="Arial"/>
                    </w:rPr>
                    <w:t xml:space="preserve">25°C during both transport and storage prior to processing </w:t>
                  </w:r>
                </w:p>
              </w:tc>
              <w:tc>
                <w:tcPr>
                  <w:tcW w:w="1134" w:type="dxa"/>
                </w:tcPr>
                <w:p w14:paraId="5E6F4DB5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6F051150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30760DDE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CA67FB" w:rsidRPr="00C80194" w14:paraId="6FED06C9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3A4D2BB4" w14:textId="6F61B017" w:rsidR="00402330" w:rsidRPr="0040768D" w:rsidRDefault="00402330" w:rsidP="00402330">
                  <w:pPr>
                    <w:rPr>
                      <w:rFonts w:cs="Arial"/>
                      <w:color w:val="000000"/>
                    </w:rPr>
                  </w:pPr>
                  <w:r w:rsidRPr="0040768D">
                    <w:rPr>
                      <w:rFonts w:cs="Arial"/>
                    </w:rPr>
                    <w:t xml:space="preserve">The time between sample collection and testing (or freezing) of citrated plasma for VWD assays </w:t>
                  </w:r>
                  <w:r>
                    <w:rPr>
                      <w:rFonts w:cs="Arial"/>
                    </w:rPr>
                    <w:t>was</w:t>
                  </w:r>
                  <w:r w:rsidRPr="0040768D">
                    <w:rPr>
                      <w:rFonts w:cs="Arial"/>
                    </w:rPr>
                    <w:t xml:space="preserve"> &lt;12</w:t>
                  </w:r>
                  <w:r>
                    <w:rPr>
                      <w:rFonts w:cs="Arial"/>
                    </w:rPr>
                    <w:t> </w:t>
                  </w:r>
                  <w:r w:rsidRPr="0040768D">
                    <w:rPr>
                      <w:rFonts w:cs="Arial"/>
                    </w:rPr>
                    <w:t>h</w:t>
                  </w:r>
                  <w:r>
                    <w:rPr>
                      <w:rFonts w:cs="Arial"/>
                    </w:rPr>
                    <w:t>ours</w:t>
                  </w:r>
                </w:p>
              </w:tc>
              <w:tc>
                <w:tcPr>
                  <w:tcW w:w="1134" w:type="dxa"/>
                </w:tcPr>
                <w:p w14:paraId="3D927215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362F535D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509DF86B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402330" w:rsidRPr="00C80194" w14:paraId="782083CF" w14:textId="77777777" w:rsidTr="00C43A5D">
              <w:tc>
                <w:tcPr>
                  <w:tcW w:w="7564" w:type="dxa"/>
                  <w:gridSpan w:val="4"/>
                  <w:shd w:val="clear" w:color="auto" w:fill="FFFFFF" w:themeFill="background1"/>
                </w:tcPr>
                <w:p w14:paraId="30779F21" w14:textId="77777777" w:rsidR="00402330" w:rsidRPr="00C43A5D" w:rsidRDefault="00402330" w:rsidP="00402330">
                  <w:pPr>
                    <w:rPr>
                      <w:rFonts w:cs="Arial"/>
                      <w:b/>
                      <w:bCs/>
                      <w:color w:val="000000"/>
                    </w:rPr>
                  </w:pPr>
                  <w:r w:rsidRPr="00C43A5D">
                    <w:rPr>
                      <w:rFonts w:cs="Arial"/>
                      <w:b/>
                      <w:bCs/>
                      <w:color w:val="000000"/>
                    </w:rPr>
                    <w:t xml:space="preserve">Initial laboratory investigations </w:t>
                  </w:r>
                </w:p>
              </w:tc>
            </w:tr>
            <w:tr w:rsidR="00CA67FB" w:rsidRPr="00C80194" w14:paraId="3B740989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126D9FB4" w14:textId="39778429" w:rsidR="00402330" w:rsidRPr="0040768D" w:rsidRDefault="00402330" w:rsidP="00402330">
                  <w:pPr>
                    <w:rPr>
                      <w:rFonts w:cs="Arial"/>
                      <w:color w:val="000000"/>
                    </w:rPr>
                  </w:pPr>
                  <w:r w:rsidRPr="0040768D"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</w:rPr>
                    <w:t xml:space="preserve">n </w:t>
                  </w:r>
                  <w:r w:rsidRPr="0040768D">
                    <w:rPr>
                      <w:rFonts w:cs="Arial"/>
                    </w:rPr>
                    <w:t xml:space="preserve">FBC </w:t>
                  </w:r>
                  <w:r>
                    <w:rPr>
                      <w:rFonts w:cs="Arial"/>
                    </w:rPr>
                    <w:t>(</w:t>
                  </w:r>
                  <w:r w:rsidRPr="0040768D">
                    <w:rPr>
                      <w:rFonts w:cs="Arial"/>
                    </w:rPr>
                    <w:t xml:space="preserve">including mean platelet volume) with a blood film for platelet morphology </w:t>
                  </w:r>
                  <w:r>
                    <w:rPr>
                      <w:rFonts w:cs="Arial"/>
                    </w:rPr>
                    <w:t>was</w:t>
                  </w:r>
                  <w:r w:rsidRPr="0040768D">
                    <w:rPr>
                      <w:rFonts w:cs="Arial"/>
                    </w:rPr>
                    <w:t xml:space="preserve"> performed on all individuals being investigated for VWD</w:t>
                  </w:r>
                  <w:r>
                    <w:rPr>
                      <w:rFonts w:cs="Arial"/>
                    </w:rPr>
                    <w:t>/</w:t>
                  </w:r>
                  <w:r w:rsidRPr="0040768D">
                    <w:rPr>
                      <w:rFonts w:cs="Arial"/>
                    </w:rPr>
                    <w:t>AVWS</w:t>
                  </w:r>
                </w:p>
              </w:tc>
              <w:tc>
                <w:tcPr>
                  <w:tcW w:w="1134" w:type="dxa"/>
                </w:tcPr>
                <w:p w14:paraId="1294677A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625277CE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10CAF46D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CA67FB" w:rsidRPr="00C80194" w14:paraId="00D00875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58E7BB9C" w14:textId="77777777" w:rsidR="00402330" w:rsidRDefault="00402330" w:rsidP="00402330">
                  <w:pPr>
                    <w:rPr>
                      <w:rFonts w:cs="Arial"/>
                      <w:color w:val="000000"/>
                    </w:rPr>
                  </w:pPr>
                  <w:r w:rsidRPr="0040768D">
                    <w:rPr>
                      <w:rFonts w:cs="Arial"/>
                    </w:rPr>
                    <w:t xml:space="preserve">Assays for PT, </w:t>
                  </w:r>
                  <w:r>
                    <w:rPr>
                      <w:rFonts w:cs="Arial"/>
                    </w:rPr>
                    <w:t>A</w:t>
                  </w:r>
                  <w:r w:rsidRPr="0040768D">
                    <w:rPr>
                      <w:rFonts w:cs="Arial"/>
                    </w:rPr>
                    <w:t>PTT and Clauss fibrinogen</w:t>
                  </w:r>
                  <w:r>
                    <w:rPr>
                      <w:rFonts w:cs="Arial"/>
                    </w:rPr>
                    <w:t xml:space="preserve"> were</w:t>
                  </w:r>
                  <w:r w:rsidRPr="0040768D">
                    <w:rPr>
                      <w:rFonts w:cs="Arial"/>
                    </w:rPr>
                    <w:t xml:space="preserve"> performed on all individuals being investigated for VWD/AVWS</w:t>
                  </w:r>
                </w:p>
              </w:tc>
              <w:tc>
                <w:tcPr>
                  <w:tcW w:w="1134" w:type="dxa"/>
                </w:tcPr>
                <w:p w14:paraId="4D154802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447843A0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54C7353A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402330" w:rsidRPr="00157755" w14:paraId="590DF65A" w14:textId="77777777" w:rsidTr="00C43A5D">
              <w:tc>
                <w:tcPr>
                  <w:tcW w:w="7564" w:type="dxa"/>
                  <w:gridSpan w:val="4"/>
                  <w:shd w:val="clear" w:color="auto" w:fill="FFFFFF" w:themeFill="background1"/>
                </w:tcPr>
                <w:p w14:paraId="55E54ED4" w14:textId="77777777" w:rsidR="00402330" w:rsidRPr="00C43A5D" w:rsidRDefault="00402330" w:rsidP="00402330">
                  <w:pPr>
                    <w:rPr>
                      <w:rFonts w:cs="Arial"/>
                      <w:b/>
                      <w:bCs/>
                      <w:color w:val="000000"/>
                    </w:rPr>
                  </w:pPr>
                  <w:r w:rsidRPr="00C43A5D">
                    <w:rPr>
                      <w:rFonts w:cs="Arial"/>
                      <w:b/>
                      <w:bCs/>
                      <w:color w:val="000000"/>
                    </w:rPr>
                    <w:t>Initial diagnostic tests for VWD/AVWS</w:t>
                  </w:r>
                </w:p>
              </w:tc>
            </w:tr>
            <w:tr w:rsidR="00CA67FB" w:rsidRPr="00C80194" w14:paraId="30A86817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07B0C4A6" w14:textId="4D91C45F" w:rsidR="00402330" w:rsidRDefault="00402330" w:rsidP="00402330">
                  <w:pPr>
                    <w:rPr>
                      <w:rFonts w:cs="Arial"/>
                      <w:color w:val="000000"/>
                    </w:rPr>
                  </w:pPr>
                  <w:r w:rsidRPr="0040768D">
                    <w:rPr>
                      <w:rFonts w:cs="Arial"/>
                    </w:rPr>
                    <w:t xml:space="preserve">Initial investigations for VWD or AVWS </w:t>
                  </w:r>
                  <w:r>
                    <w:rPr>
                      <w:rFonts w:cs="Arial"/>
                    </w:rPr>
                    <w:t xml:space="preserve">measured </w:t>
                  </w:r>
                  <w:r w:rsidRPr="0040768D">
                    <w:rPr>
                      <w:rFonts w:cs="Arial"/>
                    </w:rPr>
                    <w:t xml:space="preserve">FVIII:C, </w:t>
                  </w:r>
                  <w:proofErr w:type="spellStart"/>
                  <w:r w:rsidRPr="0040768D">
                    <w:rPr>
                      <w:rFonts w:cs="Arial"/>
                    </w:rPr>
                    <w:t>VWF</w:t>
                  </w:r>
                  <w:r>
                    <w:rPr>
                      <w:rFonts w:cs="Arial"/>
                    </w:rPr>
                    <w:t>:Ag</w:t>
                  </w:r>
                  <w:proofErr w:type="spellEnd"/>
                  <w:r w:rsidRPr="0040768D">
                    <w:rPr>
                      <w:rFonts w:cs="Arial"/>
                    </w:rPr>
                    <w:t>, and VWF activity</w:t>
                  </w:r>
                  <w:r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lastRenderedPageBreak/>
                    <w:t>(</w:t>
                  </w:r>
                  <w:r w:rsidRPr="0040768D">
                    <w:rPr>
                      <w:rFonts w:cs="Arial"/>
                    </w:rPr>
                    <w:t xml:space="preserve">by </w:t>
                  </w:r>
                  <w:proofErr w:type="spellStart"/>
                  <w:r w:rsidRPr="0040768D">
                    <w:rPr>
                      <w:rFonts w:cs="Arial"/>
                    </w:rPr>
                    <w:t>VWF:RCo</w:t>
                  </w:r>
                  <w:proofErr w:type="spellEnd"/>
                  <w:r w:rsidRPr="0040768D">
                    <w:rPr>
                      <w:rFonts w:cs="Arial"/>
                    </w:rPr>
                    <w:t xml:space="preserve">, </w:t>
                  </w:r>
                  <w:proofErr w:type="spellStart"/>
                  <w:r w:rsidRPr="0040768D">
                    <w:rPr>
                      <w:rFonts w:cs="Arial"/>
                    </w:rPr>
                    <w:t>VWF:GPIbR</w:t>
                  </w:r>
                  <w:proofErr w:type="spellEnd"/>
                  <w:r w:rsidRPr="0040768D">
                    <w:rPr>
                      <w:rFonts w:cs="Arial"/>
                    </w:rPr>
                    <w:t xml:space="preserve"> or </w:t>
                  </w:r>
                  <w:proofErr w:type="spellStart"/>
                  <w:r w:rsidRPr="0040768D">
                    <w:rPr>
                      <w:rFonts w:cs="Arial"/>
                    </w:rPr>
                    <w:t>VWF:GPIbM</w:t>
                  </w:r>
                  <w:proofErr w:type="spellEnd"/>
                  <w:r>
                    <w:rPr>
                      <w:rFonts w:cs="Arial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14:paraId="2374C1A3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51355FEF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07AE25E0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CA67FB" w:rsidRPr="00C80194" w14:paraId="10F24205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0C87E4BA" w14:textId="1465A0FF" w:rsidR="00402330" w:rsidRDefault="00402330" w:rsidP="00402330">
                  <w:pPr>
                    <w:rPr>
                      <w:rFonts w:cs="Arial"/>
                      <w:color w:val="000000"/>
                    </w:rPr>
                  </w:pPr>
                  <w:r w:rsidRPr="0040768D">
                    <w:rPr>
                      <w:rFonts w:cs="Arial"/>
                    </w:rPr>
                    <w:t xml:space="preserve">Laboratories </w:t>
                  </w:r>
                  <w:r>
                    <w:rPr>
                      <w:rFonts w:cs="Arial"/>
                    </w:rPr>
                    <w:t>calibrated</w:t>
                  </w:r>
                  <w:r w:rsidRPr="0040768D">
                    <w:rPr>
                      <w:rFonts w:cs="Arial"/>
                    </w:rPr>
                    <w:t xml:space="preserve"> assays using plasmas that </w:t>
                  </w:r>
                  <w:r>
                    <w:rPr>
                      <w:rFonts w:cs="Arial"/>
                    </w:rPr>
                    <w:t>we</w:t>
                  </w:r>
                  <w:r w:rsidRPr="0040768D">
                    <w:rPr>
                      <w:rFonts w:cs="Arial"/>
                    </w:rPr>
                    <w:t xml:space="preserve">re traceable to the international standard for FVIII:C and for VWF, and results </w:t>
                  </w:r>
                  <w:r>
                    <w:rPr>
                      <w:rFonts w:cs="Arial"/>
                    </w:rPr>
                    <w:t>were</w:t>
                  </w:r>
                  <w:r w:rsidRPr="0040768D">
                    <w:rPr>
                      <w:rFonts w:cs="Arial"/>
                    </w:rPr>
                    <w:t xml:space="preserve"> reported in IU/dL</w:t>
                  </w:r>
                </w:p>
              </w:tc>
              <w:tc>
                <w:tcPr>
                  <w:tcW w:w="1134" w:type="dxa"/>
                </w:tcPr>
                <w:p w14:paraId="545E5AD5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42CF7E1D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2D25E51E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CA67FB" w:rsidRPr="00C80194" w14:paraId="1C23F839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4BF32259" w14:textId="0CCC217F" w:rsidR="00402330" w:rsidRDefault="00402330" w:rsidP="00402330">
                  <w:pPr>
                    <w:rPr>
                      <w:rFonts w:cs="Arial"/>
                      <w:color w:val="000000"/>
                    </w:rPr>
                  </w:pPr>
                  <w:r w:rsidRPr="003B02B7">
                    <w:rPr>
                      <w:rFonts w:cs="Arial"/>
                    </w:rPr>
                    <w:t xml:space="preserve">Laboratory methods measuring </w:t>
                  </w:r>
                  <w:proofErr w:type="spellStart"/>
                  <w:r w:rsidRPr="003B02B7">
                    <w:rPr>
                      <w:rFonts w:cs="Arial"/>
                    </w:rPr>
                    <w:t>VWF:Ag</w:t>
                  </w:r>
                  <w:proofErr w:type="spellEnd"/>
                  <w:r w:rsidRPr="003B02B7">
                    <w:rPr>
                      <w:rFonts w:cs="Arial"/>
                    </w:rPr>
                    <w:t xml:space="preserve"> to diagnose type 3 VWD, were demonstrably capable of measuring to levels &lt;1 IU/dL</w:t>
                  </w:r>
                </w:p>
              </w:tc>
              <w:tc>
                <w:tcPr>
                  <w:tcW w:w="1134" w:type="dxa"/>
                </w:tcPr>
                <w:p w14:paraId="4979915D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57CA7F3D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0E803AED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402330" w:rsidRPr="00DA14A6" w14:paraId="609A46C1" w14:textId="77777777" w:rsidTr="00C43A5D">
              <w:tc>
                <w:tcPr>
                  <w:tcW w:w="7564" w:type="dxa"/>
                  <w:gridSpan w:val="4"/>
                  <w:shd w:val="clear" w:color="auto" w:fill="FFFFFF" w:themeFill="background1"/>
                </w:tcPr>
                <w:p w14:paraId="7AF6940A" w14:textId="77777777" w:rsidR="00402330" w:rsidRPr="00C43A5D" w:rsidRDefault="00402330" w:rsidP="00402330">
                  <w:pPr>
                    <w:rPr>
                      <w:rFonts w:cs="Arial"/>
                      <w:b/>
                      <w:bCs/>
                      <w:color w:val="000000"/>
                    </w:rPr>
                  </w:pPr>
                  <w:r w:rsidRPr="00C43A5D">
                    <w:rPr>
                      <w:rFonts w:cs="Arial"/>
                      <w:b/>
                      <w:bCs/>
                      <w:color w:val="000000"/>
                    </w:rPr>
                    <w:t>Additional investigations for VWD classification</w:t>
                  </w:r>
                </w:p>
              </w:tc>
            </w:tr>
            <w:tr w:rsidR="00CA67FB" w:rsidRPr="00C80194" w14:paraId="5A0FD761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19995586" w14:textId="15EAFC0F" w:rsidR="00402330" w:rsidRPr="000F4529" w:rsidRDefault="00402330" w:rsidP="00402330">
                  <w:pPr>
                    <w:rPr>
                      <w:rFonts w:cs="Arial"/>
                      <w:color w:val="000000"/>
                    </w:rPr>
                  </w:pPr>
                  <w:r w:rsidRPr="0040768D">
                    <w:rPr>
                      <w:rFonts w:cs="Arial"/>
                      <w:color w:val="000000"/>
                    </w:rPr>
                    <w:t xml:space="preserve">Multimer analysis </w:t>
                  </w:r>
                  <w:r>
                    <w:rPr>
                      <w:rFonts w:cs="Arial"/>
                      <w:color w:val="000000"/>
                    </w:rPr>
                    <w:t>was</w:t>
                  </w:r>
                  <w:r w:rsidRPr="0040768D">
                    <w:rPr>
                      <w:rFonts w:cs="Arial"/>
                      <w:color w:val="000000"/>
                    </w:rPr>
                    <w:t xml:space="preserve"> performed in </w:t>
                  </w:r>
                  <w:r>
                    <w:rPr>
                      <w:rFonts w:cs="Arial"/>
                      <w:color w:val="000000"/>
                    </w:rPr>
                    <w:t xml:space="preserve">a </w:t>
                  </w:r>
                  <w:r w:rsidRPr="0040768D">
                    <w:rPr>
                      <w:rFonts w:cs="Arial"/>
                      <w:color w:val="000000"/>
                    </w:rPr>
                    <w:t>specialised haemostasis laborator</w:t>
                  </w:r>
                  <w:r>
                    <w:rPr>
                      <w:rFonts w:cs="Arial"/>
                      <w:color w:val="000000"/>
                    </w:rPr>
                    <w:t>y</w:t>
                  </w:r>
                  <w:r w:rsidRPr="0040768D">
                    <w:rPr>
                      <w:rFonts w:cs="Arial"/>
                      <w:color w:val="000000"/>
                    </w:rPr>
                    <w:t xml:space="preserve"> with experience of performing the analysis and interpretation of the results, and which participate</w:t>
                  </w:r>
                  <w:r>
                    <w:rPr>
                      <w:rFonts w:cs="Arial"/>
                      <w:color w:val="000000"/>
                    </w:rPr>
                    <w:t>s</w:t>
                  </w:r>
                  <w:r w:rsidRPr="0040768D">
                    <w:rPr>
                      <w:rFonts w:cs="Arial"/>
                      <w:color w:val="000000"/>
                    </w:rPr>
                    <w:t xml:space="preserve"> in appropriate EQA</w:t>
                  </w:r>
                </w:p>
              </w:tc>
              <w:tc>
                <w:tcPr>
                  <w:tcW w:w="1134" w:type="dxa"/>
                </w:tcPr>
                <w:p w14:paraId="2A72AF60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0CBECA79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0E6A3A35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CA67FB" w:rsidRPr="00C80194" w14:paraId="00A87F1C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092553FC" w14:textId="35C5810A" w:rsidR="00402330" w:rsidRPr="0040768D" w:rsidRDefault="00402330" w:rsidP="00402330">
                  <w:pPr>
                    <w:rPr>
                      <w:rFonts w:cs="Arial"/>
                      <w:color w:val="000000"/>
                    </w:rPr>
                  </w:pPr>
                  <w:r w:rsidRPr="0040768D">
                    <w:rPr>
                      <w:rFonts w:cs="Arial"/>
                      <w:color w:val="000000"/>
                    </w:rPr>
                    <w:t>Individuals with a newly identified reduced FVIII:C/</w:t>
                  </w:r>
                  <w:proofErr w:type="spellStart"/>
                  <w:r w:rsidRPr="0040768D">
                    <w:rPr>
                      <w:rFonts w:cs="Arial"/>
                      <w:color w:val="000000"/>
                    </w:rPr>
                    <w:t>VWF:Ag</w:t>
                  </w:r>
                  <w:proofErr w:type="spellEnd"/>
                  <w:r w:rsidRPr="0040768D">
                    <w:rPr>
                      <w:rFonts w:cs="Arial"/>
                      <w:color w:val="000000"/>
                    </w:rPr>
                    <w:t xml:space="preserve"> ratio </w:t>
                  </w:r>
                  <w:r>
                    <w:rPr>
                      <w:rFonts w:cs="Arial"/>
                      <w:color w:val="000000"/>
                    </w:rPr>
                    <w:t>have undergone</w:t>
                  </w:r>
                  <w:r w:rsidRPr="0040768D">
                    <w:rPr>
                      <w:rFonts w:cs="Arial"/>
                      <w:color w:val="000000"/>
                    </w:rPr>
                    <w:t xml:space="preserve"> genetic testing for suspected type 2N VWD</w:t>
                  </w:r>
                  <w:r>
                    <w:rPr>
                      <w:rFonts w:cs="Arial"/>
                      <w:color w:val="000000"/>
                    </w:rPr>
                    <w:t>/haemophilia A</w:t>
                  </w:r>
                </w:p>
              </w:tc>
              <w:tc>
                <w:tcPr>
                  <w:tcW w:w="1134" w:type="dxa"/>
                </w:tcPr>
                <w:p w14:paraId="7813A044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23F859F9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09A0764F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CA67FB" w:rsidRPr="00C80194" w14:paraId="0E96A5D9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2785F8AB" w14:textId="53385353" w:rsidR="00402330" w:rsidRPr="006962F9" w:rsidRDefault="00402330" w:rsidP="00402330">
                  <w:pPr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Individuals with </w:t>
                  </w:r>
                  <w:r w:rsidRPr="0040768D">
                    <w:rPr>
                      <w:rFonts w:cs="Arial"/>
                      <w:color w:val="000000"/>
                    </w:rPr>
                    <w:t xml:space="preserve">suspected type 2B VWD or PT-VWD </w:t>
                  </w:r>
                  <w:r>
                    <w:rPr>
                      <w:rFonts w:cs="Arial"/>
                      <w:color w:val="000000"/>
                    </w:rPr>
                    <w:t>have undergone g</w:t>
                  </w:r>
                  <w:r w:rsidRPr="0040768D">
                    <w:rPr>
                      <w:rFonts w:cs="Arial"/>
                      <w:color w:val="000000"/>
                    </w:rPr>
                    <w:t>enetic testing</w:t>
                  </w:r>
                </w:p>
              </w:tc>
              <w:tc>
                <w:tcPr>
                  <w:tcW w:w="1134" w:type="dxa"/>
                </w:tcPr>
                <w:p w14:paraId="59A17FD4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23B1BB57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746CAB7B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CA67FB" w:rsidRPr="00C80194" w14:paraId="057ED172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54AADB63" w14:textId="64EB59A1" w:rsidR="00402330" w:rsidRPr="006962F9" w:rsidRDefault="00402330" w:rsidP="00402330">
                  <w:pPr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lastRenderedPageBreak/>
                    <w:t>I</w:t>
                  </w:r>
                  <w:r w:rsidRPr="0040768D">
                    <w:rPr>
                      <w:rFonts w:cs="Arial"/>
                      <w:color w:val="000000"/>
                    </w:rPr>
                    <w:t>ndividuals with reduced VWF half-life to DDAVP</w:t>
                  </w:r>
                  <w:r>
                    <w:rPr>
                      <w:rFonts w:cs="Arial"/>
                      <w:color w:val="000000"/>
                    </w:rPr>
                    <w:t xml:space="preserve"> have undergone genetic testing for VWD-Vicenza</w:t>
                  </w:r>
                </w:p>
              </w:tc>
              <w:tc>
                <w:tcPr>
                  <w:tcW w:w="1134" w:type="dxa"/>
                </w:tcPr>
                <w:p w14:paraId="39AF3E21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12EF57AD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0303399B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402330" w:rsidRPr="00C80194" w14:paraId="69241E8F" w14:textId="77777777" w:rsidTr="00C43A5D">
              <w:tc>
                <w:tcPr>
                  <w:tcW w:w="7564" w:type="dxa"/>
                  <w:gridSpan w:val="4"/>
                  <w:shd w:val="clear" w:color="auto" w:fill="FFFFFF" w:themeFill="background1"/>
                </w:tcPr>
                <w:p w14:paraId="0FC3E490" w14:textId="77777777" w:rsidR="00402330" w:rsidRPr="00C43A5D" w:rsidRDefault="00402330" w:rsidP="00402330">
                  <w:pPr>
                    <w:rPr>
                      <w:rFonts w:cs="Arial"/>
                      <w:b/>
                      <w:bCs/>
                      <w:color w:val="000000"/>
                    </w:rPr>
                  </w:pPr>
                  <w:r w:rsidRPr="00C43A5D">
                    <w:rPr>
                      <w:rFonts w:cs="Arial"/>
                      <w:b/>
                      <w:bCs/>
                      <w:color w:val="000000"/>
                    </w:rPr>
                    <w:t>Genetic or genomic testing</w:t>
                  </w:r>
                </w:p>
              </w:tc>
            </w:tr>
            <w:tr w:rsidR="00CA67FB" w:rsidRPr="00C80194" w14:paraId="7B974F89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29B54145" w14:textId="143B7669" w:rsidR="00402330" w:rsidRPr="00DD4B09" w:rsidRDefault="00402330" w:rsidP="00402330">
                  <w:pPr>
                    <w:rPr>
                      <w:rFonts w:cs="Arial"/>
                      <w:color w:val="000000"/>
                    </w:rPr>
                  </w:pPr>
                  <w:r w:rsidRPr="00DA14A6">
                    <w:rPr>
                      <w:rFonts w:cs="Arial"/>
                      <w:color w:val="000000"/>
                    </w:rPr>
                    <w:t xml:space="preserve">Informed consent </w:t>
                  </w:r>
                  <w:r>
                    <w:rPr>
                      <w:rFonts w:cs="Arial"/>
                      <w:color w:val="000000"/>
                    </w:rPr>
                    <w:t>has been</w:t>
                  </w:r>
                  <w:r w:rsidRPr="00DA14A6">
                    <w:rPr>
                      <w:rFonts w:cs="Arial"/>
                      <w:color w:val="000000"/>
                    </w:rPr>
                    <w:t xml:space="preserve"> obtained prior to referral of an individual for genetic testing, including providing information regarding potential incidental findings</w:t>
                  </w:r>
                </w:p>
              </w:tc>
              <w:tc>
                <w:tcPr>
                  <w:tcW w:w="1134" w:type="dxa"/>
                </w:tcPr>
                <w:p w14:paraId="2995CE6E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731D2E0C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417C6544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CA67FB" w:rsidRPr="00C80194" w14:paraId="3E05A6AE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78DFA4AF" w14:textId="04F8BBF4" w:rsidR="00402330" w:rsidRPr="003322C4" w:rsidRDefault="00402330" w:rsidP="00402330">
                  <w:pPr>
                    <w:rPr>
                      <w:rFonts w:cs="Arial"/>
                      <w:color w:val="000000"/>
                    </w:rPr>
                  </w:pPr>
                  <w:r w:rsidRPr="00DA14A6">
                    <w:rPr>
                      <w:rFonts w:cs="Arial"/>
                      <w:color w:val="000000"/>
                    </w:rPr>
                    <w:t>Interpretive reports follow ACMG and AC</w:t>
                  </w:r>
                  <w:r>
                    <w:rPr>
                      <w:rFonts w:cs="Arial"/>
                      <w:color w:val="000000"/>
                    </w:rPr>
                    <w:t>G</w:t>
                  </w:r>
                  <w:r w:rsidRPr="00DA14A6">
                    <w:rPr>
                      <w:rFonts w:cs="Arial"/>
                      <w:color w:val="000000"/>
                    </w:rPr>
                    <w:t>S guidelines and variants described according to the HGVS nomenclature</w:t>
                  </w:r>
                </w:p>
              </w:tc>
              <w:tc>
                <w:tcPr>
                  <w:tcW w:w="1134" w:type="dxa"/>
                </w:tcPr>
                <w:p w14:paraId="36BDC922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29D9E50F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273543C5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402330" w:rsidRPr="00DA14A6" w14:paraId="50503D67" w14:textId="77777777" w:rsidTr="00C43A5D">
              <w:tc>
                <w:tcPr>
                  <w:tcW w:w="7564" w:type="dxa"/>
                  <w:gridSpan w:val="4"/>
                  <w:shd w:val="clear" w:color="auto" w:fill="FFFFFF" w:themeFill="background1"/>
                </w:tcPr>
                <w:p w14:paraId="5BCC867C" w14:textId="77777777" w:rsidR="00402330" w:rsidRPr="00C43A5D" w:rsidRDefault="00402330" w:rsidP="00402330">
                  <w:pPr>
                    <w:rPr>
                      <w:rFonts w:cs="Arial"/>
                      <w:b/>
                      <w:bCs/>
                      <w:color w:val="000000"/>
                    </w:rPr>
                  </w:pPr>
                  <w:r w:rsidRPr="00C43A5D">
                    <w:rPr>
                      <w:rFonts w:cs="Arial"/>
                      <w:b/>
                      <w:bCs/>
                      <w:color w:val="000000"/>
                    </w:rPr>
                    <w:t>Laboratory testing to guide management</w:t>
                  </w:r>
                </w:p>
              </w:tc>
            </w:tr>
            <w:tr w:rsidR="00CA67FB" w:rsidRPr="00C80194" w14:paraId="0F6A944C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31508A03" w14:textId="52B6D2FC" w:rsidR="00402330" w:rsidRDefault="00402330" w:rsidP="00402330">
                  <w:pPr>
                    <w:rPr>
                      <w:rFonts w:cs="Arial"/>
                      <w:color w:val="000000"/>
                    </w:rPr>
                  </w:pPr>
                  <w:r w:rsidRPr="00476D88">
                    <w:rPr>
                      <w:rFonts w:cs="Arial"/>
                      <w:color w:val="000000"/>
                    </w:rPr>
                    <w:t xml:space="preserve">For pregnant individuals with VWD, </w:t>
                  </w:r>
                  <w:r>
                    <w:rPr>
                      <w:rFonts w:cs="Arial"/>
                      <w:color w:val="000000"/>
                    </w:rPr>
                    <w:t xml:space="preserve">and to assess response to DDAVP, </w:t>
                  </w:r>
                  <w:r w:rsidRPr="00476D88">
                    <w:rPr>
                      <w:rFonts w:cs="Arial"/>
                      <w:color w:val="000000"/>
                    </w:rPr>
                    <w:t xml:space="preserve">FVIII:C (by OSCA or CSA), VWF activity (by </w:t>
                  </w:r>
                  <w:proofErr w:type="spellStart"/>
                  <w:r w:rsidRPr="00476D88">
                    <w:rPr>
                      <w:rFonts w:cs="Arial"/>
                      <w:color w:val="000000"/>
                    </w:rPr>
                    <w:t>VWF:RCo</w:t>
                  </w:r>
                  <w:proofErr w:type="spellEnd"/>
                  <w:r w:rsidRPr="00476D88">
                    <w:rPr>
                      <w:rFonts w:cs="Arial"/>
                      <w:color w:val="000000"/>
                    </w:rPr>
                    <w:t xml:space="preserve"> or </w:t>
                  </w:r>
                  <w:proofErr w:type="spellStart"/>
                  <w:r w:rsidRPr="00476D88">
                    <w:rPr>
                      <w:rFonts w:cs="Arial"/>
                      <w:color w:val="000000"/>
                    </w:rPr>
                    <w:t>VWF:GPIbR</w:t>
                  </w:r>
                  <w:proofErr w:type="spellEnd"/>
                  <w:r w:rsidRPr="00476D88">
                    <w:rPr>
                      <w:rFonts w:cs="Arial"/>
                      <w:color w:val="000000"/>
                    </w:rPr>
                    <w:t xml:space="preserve"> or </w:t>
                  </w:r>
                  <w:proofErr w:type="spellStart"/>
                  <w:r w:rsidRPr="00476D88">
                    <w:rPr>
                      <w:rFonts w:cs="Arial"/>
                      <w:color w:val="000000"/>
                    </w:rPr>
                    <w:t>VWF:GPIbM</w:t>
                  </w:r>
                  <w:proofErr w:type="spellEnd"/>
                  <w:r w:rsidRPr="00476D88">
                    <w:rPr>
                      <w:rFonts w:cs="Arial"/>
                      <w:color w:val="000000"/>
                    </w:rPr>
                    <w:t xml:space="preserve">) and </w:t>
                  </w:r>
                  <w:proofErr w:type="spellStart"/>
                  <w:r w:rsidRPr="00476D88">
                    <w:rPr>
                      <w:rFonts w:cs="Arial"/>
                      <w:color w:val="000000"/>
                    </w:rPr>
                    <w:t>VWF:Ag</w:t>
                  </w:r>
                  <w:proofErr w:type="spellEnd"/>
                  <w:r w:rsidRPr="00476D88">
                    <w:rPr>
                      <w:rFonts w:cs="Arial"/>
                      <w:color w:val="000000"/>
                    </w:rPr>
                    <w:t xml:space="preserve"> </w:t>
                  </w:r>
                  <w:r>
                    <w:rPr>
                      <w:rFonts w:cs="Arial"/>
                      <w:color w:val="000000"/>
                    </w:rPr>
                    <w:t xml:space="preserve">was </w:t>
                  </w:r>
                  <w:r w:rsidRPr="00476D88">
                    <w:rPr>
                      <w:rFonts w:cs="Arial"/>
                      <w:color w:val="000000"/>
                    </w:rPr>
                    <w:t>measured</w:t>
                  </w:r>
                </w:p>
              </w:tc>
              <w:tc>
                <w:tcPr>
                  <w:tcW w:w="1134" w:type="dxa"/>
                </w:tcPr>
                <w:p w14:paraId="79CB56A6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08C81C0A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7FE85750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CA67FB" w:rsidRPr="00C80194" w14:paraId="3D2AB0A8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06C7E162" w14:textId="0DF1BD64" w:rsidR="00402330" w:rsidRPr="003322C4" w:rsidRDefault="00402330" w:rsidP="00402330">
                  <w:pPr>
                    <w:rPr>
                      <w:rFonts w:cs="Arial"/>
                      <w:color w:val="000000"/>
                    </w:rPr>
                  </w:pPr>
                  <w:r w:rsidRPr="00A34A7E">
                    <w:rPr>
                      <w:rFonts w:cs="Arial"/>
                      <w:color w:val="000000"/>
                    </w:rPr>
                    <w:t xml:space="preserve">To assess response to VWF concentrate in individuals with VWD, FVIII:C (by </w:t>
                  </w:r>
                  <w:proofErr w:type="spellStart"/>
                  <w:r w:rsidRPr="00A34A7E">
                    <w:rPr>
                      <w:rFonts w:cs="Arial"/>
                      <w:color w:val="000000"/>
                    </w:rPr>
                    <w:t>OSCAor</w:t>
                  </w:r>
                  <w:proofErr w:type="spellEnd"/>
                  <w:r w:rsidRPr="00A34A7E">
                    <w:rPr>
                      <w:rFonts w:cs="Arial"/>
                      <w:color w:val="000000"/>
                    </w:rPr>
                    <w:t xml:space="preserve"> CSA), and VWF activity (by </w:t>
                  </w:r>
                  <w:proofErr w:type="spellStart"/>
                  <w:r w:rsidRPr="00A34A7E">
                    <w:rPr>
                      <w:rFonts w:cs="Arial"/>
                      <w:color w:val="000000"/>
                    </w:rPr>
                    <w:t>VWF:RCo</w:t>
                  </w:r>
                  <w:proofErr w:type="spellEnd"/>
                  <w:r w:rsidRPr="00A34A7E">
                    <w:rPr>
                      <w:rFonts w:cs="Arial"/>
                      <w:color w:val="000000"/>
                    </w:rPr>
                    <w:t xml:space="preserve">, </w:t>
                  </w:r>
                  <w:proofErr w:type="spellStart"/>
                  <w:r w:rsidRPr="00A34A7E">
                    <w:rPr>
                      <w:rFonts w:cs="Arial"/>
                      <w:color w:val="000000"/>
                    </w:rPr>
                    <w:t>VWF:GPIbR</w:t>
                  </w:r>
                  <w:proofErr w:type="spellEnd"/>
                  <w:r w:rsidRPr="00A34A7E">
                    <w:rPr>
                      <w:rFonts w:cs="Arial"/>
                      <w:color w:val="000000"/>
                    </w:rPr>
                    <w:t xml:space="preserve"> or </w:t>
                  </w:r>
                  <w:proofErr w:type="spellStart"/>
                  <w:r w:rsidRPr="00A34A7E">
                    <w:rPr>
                      <w:rFonts w:cs="Arial"/>
                      <w:color w:val="000000"/>
                    </w:rPr>
                    <w:t>VWF:GPIbM</w:t>
                  </w:r>
                  <w:proofErr w:type="spellEnd"/>
                  <w:r w:rsidRPr="00A34A7E">
                    <w:rPr>
                      <w:rFonts w:cs="Arial"/>
                      <w:color w:val="000000"/>
                    </w:rPr>
                    <w:t xml:space="preserve">) </w:t>
                  </w:r>
                  <w:r>
                    <w:rPr>
                      <w:rFonts w:cs="Arial"/>
                      <w:color w:val="000000"/>
                    </w:rPr>
                    <w:t xml:space="preserve">was </w:t>
                  </w:r>
                  <w:r w:rsidRPr="00A34A7E">
                    <w:rPr>
                      <w:rFonts w:cs="Arial"/>
                      <w:color w:val="000000"/>
                    </w:rPr>
                    <w:t>measured</w:t>
                  </w:r>
                </w:p>
              </w:tc>
              <w:tc>
                <w:tcPr>
                  <w:tcW w:w="1134" w:type="dxa"/>
                </w:tcPr>
                <w:p w14:paraId="3D1E21CD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48038DF6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4B6A0410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CA67FB" w:rsidRPr="00C80194" w14:paraId="0C5A765B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29C7E484" w14:textId="77777777" w:rsidR="00402330" w:rsidRPr="003322C4" w:rsidRDefault="00402330" w:rsidP="00402330">
                  <w:pPr>
                    <w:rPr>
                      <w:rFonts w:cs="Arial"/>
                      <w:color w:val="000000"/>
                    </w:rPr>
                  </w:pPr>
                  <w:r w:rsidRPr="00214694">
                    <w:rPr>
                      <w:rFonts w:cs="Arial"/>
                      <w:color w:val="000000"/>
                    </w:rPr>
                    <w:t xml:space="preserve">To exclude a diagnosis </w:t>
                  </w:r>
                  <w:r>
                    <w:rPr>
                      <w:rFonts w:cs="Arial"/>
                      <w:color w:val="000000"/>
                    </w:rPr>
                    <w:t xml:space="preserve">of type 3 or severe type 2 VWD </w:t>
                  </w:r>
                  <w:r w:rsidRPr="00214694">
                    <w:rPr>
                      <w:rFonts w:cs="Arial"/>
                      <w:color w:val="000000"/>
                    </w:rPr>
                    <w:lastRenderedPageBreak/>
                    <w:t xml:space="preserve">in neonates or infants, FVIII:C (by OSCA or CSA), VWF activity (by </w:t>
                  </w:r>
                  <w:proofErr w:type="spellStart"/>
                  <w:r w:rsidRPr="00214694">
                    <w:rPr>
                      <w:rFonts w:cs="Arial"/>
                      <w:color w:val="000000"/>
                    </w:rPr>
                    <w:t>VWF:RCo</w:t>
                  </w:r>
                  <w:proofErr w:type="spellEnd"/>
                  <w:r w:rsidRPr="00214694">
                    <w:rPr>
                      <w:rFonts w:cs="Arial"/>
                      <w:color w:val="000000"/>
                    </w:rPr>
                    <w:t xml:space="preserve"> or </w:t>
                  </w:r>
                  <w:proofErr w:type="spellStart"/>
                  <w:r w:rsidRPr="00214694">
                    <w:rPr>
                      <w:rFonts w:cs="Arial"/>
                      <w:color w:val="000000"/>
                    </w:rPr>
                    <w:t>VWF:GPIbR</w:t>
                  </w:r>
                  <w:proofErr w:type="spellEnd"/>
                  <w:r w:rsidRPr="00214694">
                    <w:rPr>
                      <w:rFonts w:cs="Arial"/>
                      <w:color w:val="000000"/>
                    </w:rPr>
                    <w:t xml:space="preserve"> or </w:t>
                  </w:r>
                  <w:proofErr w:type="spellStart"/>
                  <w:r w:rsidRPr="00214694">
                    <w:rPr>
                      <w:rFonts w:cs="Arial"/>
                      <w:color w:val="000000"/>
                    </w:rPr>
                    <w:t>VWF:GPIbM</w:t>
                  </w:r>
                  <w:proofErr w:type="spellEnd"/>
                  <w:r w:rsidRPr="00214694">
                    <w:rPr>
                      <w:rFonts w:cs="Arial"/>
                      <w:color w:val="000000"/>
                    </w:rPr>
                    <w:t xml:space="preserve">) and </w:t>
                  </w:r>
                  <w:proofErr w:type="spellStart"/>
                  <w:r w:rsidRPr="00214694">
                    <w:rPr>
                      <w:rFonts w:cs="Arial"/>
                      <w:color w:val="000000"/>
                    </w:rPr>
                    <w:t>VWF:Ag</w:t>
                  </w:r>
                  <w:proofErr w:type="spellEnd"/>
                  <w:r w:rsidRPr="00214694">
                    <w:rPr>
                      <w:rFonts w:cs="Arial"/>
                      <w:color w:val="000000"/>
                    </w:rPr>
                    <w:t xml:space="preserve"> </w:t>
                  </w:r>
                  <w:r>
                    <w:rPr>
                      <w:rFonts w:cs="Arial"/>
                      <w:color w:val="000000"/>
                    </w:rPr>
                    <w:t xml:space="preserve">was </w:t>
                  </w:r>
                  <w:r w:rsidRPr="00214694">
                    <w:rPr>
                      <w:rFonts w:cs="Arial"/>
                      <w:color w:val="000000"/>
                    </w:rPr>
                    <w:t>measured</w:t>
                  </w:r>
                </w:p>
              </w:tc>
              <w:tc>
                <w:tcPr>
                  <w:tcW w:w="1134" w:type="dxa"/>
                </w:tcPr>
                <w:p w14:paraId="74965A5E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4715ADC0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25B78448" w14:textId="77777777" w:rsidR="00402330" w:rsidRPr="00C80194" w:rsidRDefault="00402330" w:rsidP="00402330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14:paraId="3689BFB0" w14:textId="77777777" w:rsidR="00402330" w:rsidRPr="009349D7" w:rsidRDefault="00402330" w:rsidP="00402330">
            <w:pPr>
              <w:rPr>
                <w:rFonts w:cs="Arial"/>
                <w:b/>
                <w:szCs w:val="24"/>
              </w:rPr>
            </w:pPr>
          </w:p>
          <w:p w14:paraId="33C1ABC1" w14:textId="1821AEB8" w:rsidR="00402330" w:rsidRPr="0029610F" w:rsidRDefault="00402330" w:rsidP="00402330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Commentary:</w:t>
            </w:r>
          </w:p>
          <w:p w14:paraId="4C21FCF8" w14:textId="5FE6C934" w:rsidR="00402330" w:rsidRPr="009349D7" w:rsidRDefault="00402330" w:rsidP="00402330">
            <w:pPr>
              <w:rPr>
                <w:rFonts w:cs="Arial"/>
                <w:b/>
                <w:szCs w:val="24"/>
              </w:rPr>
            </w:pPr>
          </w:p>
        </w:tc>
      </w:tr>
      <w:tr w:rsidR="00402330" w:rsidRPr="00077B16" w14:paraId="0B06E3F0" w14:textId="77777777" w:rsidTr="00874EB1">
        <w:trPr>
          <w:trHeight w:val="20"/>
        </w:trPr>
        <w:tc>
          <w:tcPr>
            <w:tcW w:w="1838" w:type="dxa"/>
          </w:tcPr>
          <w:p w14:paraId="4CAABCEC" w14:textId="77777777" w:rsidR="00402330" w:rsidRPr="009349D7" w:rsidRDefault="00402330" w:rsidP="00402330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7790" w:type="dxa"/>
          </w:tcPr>
          <w:p w14:paraId="54F6617D" w14:textId="2A569065" w:rsidR="00402330" w:rsidRPr="009349D7" w:rsidRDefault="00402330" w:rsidP="00402330">
            <w:pPr>
              <w:pStyle w:val="Bodytextredfont"/>
            </w:pPr>
            <w:r w:rsidRPr="009349D7">
              <w:t>(To be completed by the author)</w:t>
            </w:r>
          </w:p>
        </w:tc>
      </w:tr>
      <w:tr w:rsidR="00402330" w:rsidRPr="00077B16" w14:paraId="5BF6DC79" w14:textId="77777777" w:rsidTr="00874EB1">
        <w:trPr>
          <w:trHeight w:val="20"/>
        </w:trPr>
        <w:tc>
          <w:tcPr>
            <w:tcW w:w="1838" w:type="dxa"/>
          </w:tcPr>
          <w:p w14:paraId="6ED49695" w14:textId="58C55B8E" w:rsidR="00402330" w:rsidRPr="009349D7" w:rsidRDefault="00402330" w:rsidP="00402330">
            <w:pPr>
              <w:pStyle w:val="Rowheading"/>
            </w:pPr>
            <w:r w:rsidRPr="009349D7">
              <w:t>Recommend-</w:t>
            </w:r>
            <w:r w:rsidRPr="009349D7">
              <w:br/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</w:tc>
        <w:tc>
          <w:tcPr>
            <w:tcW w:w="7790" w:type="dxa"/>
          </w:tcPr>
          <w:p w14:paraId="4CDCB02A" w14:textId="77777777" w:rsidR="00402330" w:rsidRDefault="00402330" w:rsidP="00402330">
            <w:r>
              <w:t>Present the result with recommendations, actions, and responsibilities for action and a timescale for implementation. Assign a person(s) responsible to do the work within a time frame.</w:t>
            </w:r>
          </w:p>
          <w:p w14:paraId="495F1A7E" w14:textId="77777777" w:rsidR="00402330" w:rsidRDefault="00402330" w:rsidP="00402330">
            <w:r>
              <w:t>Some suggestions:</w:t>
            </w:r>
          </w:p>
          <w:p w14:paraId="60882871" w14:textId="343FED5E" w:rsidR="00402330" w:rsidRDefault="00402330" w:rsidP="00C43A5D">
            <w:pPr>
              <w:pStyle w:val="ListParagraph"/>
              <w:numPr>
                <w:ilvl w:val="0"/>
                <w:numId w:val="18"/>
              </w:numPr>
              <w:ind w:left="425" w:hanging="425"/>
            </w:pPr>
            <w:r>
              <w:t xml:space="preserve">Highlight areas of practice that are different </w:t>
            </w:r>
          </w:p>
          <w:p w14:paraId="1C0DE42A" w14:textId="6E88C53E" w:rsidR="00402330" w:rsidRPr="009349D7" w:rsidRDefault="00402330" w:rsidP="00C43A5D">
            <w:pPr>
              <w:pStyle w:val="ListParagraph"/>
              <w:numPr>
                <w:ilvl w:val="0"/>
                <w:numId w:val="18"/>
              </w:numPr>
              <w:ind w:left="425" w:hanging="425"/>
            </w:pPr>
            <w:r>
              <w:t>Present findings</w:t>
            </w:r>
          </w:p>
        </w:tc>
      </w:tr>
      <w:tr w:rsidR="00402330" w:rsidRPr="00077B16" w14:paraId="3AB83BB0" w14:textId="77777777" w:rsidTr="00874EB1">
        <w:trPr>
          <w:trHeight w:val="20"/>
        </w:trPr>
        <w:tc>
          <w:tcPr>
            <w:tcW w:w="1838" w:type="dxa"/>
          </w:tcPr>
          <w:p w14:paraId="7B1DBC85" w14:textId="1FF56588" w:rsidR="00402330" w:rsidRPr="009349D7" w:rsidRDefault="00402330" w:rsidP="00402330">
            <w:pPr>
              <w:pStyle w:val="Rowheading"/>
            </w:pPr>
            <w:r w:rsidRPr="009349D7">
              <w:t>Action plan</w:t>
            </w:r>
          </w:p>
        </w:tc>
        <w:tc>
          <w:tcPr>
            <w:tcW w:w="7790" w:type="dxa"/>
          </w:tcPr>
          <w:p w14:paraId="3ED634E6" w14:textId="3A02274B" w:rsidR="00402330" w:rsidRPr="009349D7" w:rsidRDefault="00402330" w:rsidP="00402330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402330" w:rsidRPr="00077B16" w14:paraId="2456F3A2" w14:textId="77777777" w:rsidTr="00874EB1">
        <w:trPr>
          <w:trHeight w:val="20"/>
        </w:trPr>
        <w:tc>
          <w:tcPr>
            <w:tcW w:w="1838" w:type="dxa"/>
          </w:tcPr>
          <w:p w14:paraId="2874F728" w14:textId="77777777" w:rsidR="00402330" w:rsidRPr="009349D7" w:rsidRDefault="00402330" w:rsidP="00402330">
            <w:pPr>
              <w:pStyle w:val="Rowheading"/>
            </w:pPr>
            <w:r w:rsidRPr="009349D7">
              <w:t>Re-audit date</w:t>
            </w:r>
          </w:p>
        </w:tc>
        <w:tc>
          <w:tcPr>
            <w:tcW w:w="7790" w:type="dxa"/>
          </w:tcPr>
          <w:p w14:paraId="2A3A9445" w14:textId="77777777" w:rsidR="00402330" w:rsidRPr="009349D7" w:rsidRDefault="00402330" w:rsidP="00402330">
            <w:pPr>
              <w:pStyle w:val="Bodytextredfont"/>
            </w:pPr>
            <w:r w:rsidRPr="009349D7">
              <w:t>(To be completed by the author)</w:t>
            </w:r>
          </w:p>
        </w:tc>
      </w:tr>
      <w:tr w:rsidR="00402330" w:rsidRPr="00077B16" w14:paraId="7E5BF0AE" w14:textId="77777777" w:rsidTr="00874EB1">
        <w:trPr>
          <w:trHeight w:val="20"/>
        </w:trPr>
        <w:tc>
          <w:tcPr>
            <w:tcW w:w="1838" w:type="dxa"/>
          </w:tcPr>
          <w:p w14:paraId="6DDCB30D" w14:textId="4FB705CA" w:rsidR="00402330" w:rsidRPr="009349D7" w:rsidRDefault="00402330" w:rsidP="00402330">
            <w:pPr>
              <w:pStyle w:val="Rowheading"/>
            </w:pPr>
            <w:r w:rsidRPr="009349D7">
              <w:t>References</w:t>
            </w:r>
          </w:p>
          <w:p w14:paraId="36CD5C27" w14:textId="16D11343" w:rsidR="00402330" w:rsidRPr="009349D7" w:rsidRDefault="00402330" w:rsidP="00402330">
            <w:pPr>
              <w:pStyle w:val="Rowheading"/>
            </w:pPr>
          </w:p>
        </w:tc>
        <w:tc>
          <w:tcPr>
            <w:tcW w:w="7790" w:type="dxa"/>
          </w:tcPr>
          <w:p w14:paraId="7F5516E3" w14:textId="56409C46" w:rsidR="00402330" w:rsidRPr="00AB52AE" w:rsidRDefault="00402330" w:rsidP="00402330">
            <w:pPr>
              <w:pStyle w:val="Rowheading"/>
              <w:numPr>
                <w:ilvl w:val="0"/>
                <w:numId w:val="3"/>
              </w:numPr>
              <w:ind w:left="425" w:hanging="425"/>
              <w:rPr>
                <w:b w:val="0"/>
                <w:bCs/>
              </w:rPr>
            </w:pPr>
            <w:proofErr w:type="spellStart"/>
            <w:r w:rsidRPr="00402330">
              <w:rPr>
                <w:b w:val="0"/>
                <w:bCs/>
              </w:rPr>
              <w:t>Platton</w:t>
            </w:r>
            <w:proofErr w:type="spellEnd"/>
            <w:r w:rsidRPr="00402330">
              <w:rPr>
                <w:b w:val="0"/>
                <w:bCs/>
              </w:rPr>
              <w:t xml:space="preserve"> S, Baker P, Bowyer A, Keenan C, Lawrence C, Lester W </w:t>
            </w:r>
            <w:r w:rsidRPr="00C43A5D">
              <w:rPr>
                <w:b w:val="0"/>
                <w:bCs/>
                <w:i/>
                <w:iCs/>
              </w:rPr>
              <w:t>et al</w:t>
            </w:r>
            <w:r w:rsidRPr="00402330">
              <w:rPr>
                <w:b w:val="0"/>
                <w:bCs/>
              </w:rPr>
              <w:t xml:space="preserve">. Guideline for laboratory diagnosis and monitoring of von Willebrand disease: A joint guideline from the United Kingdom Haemophilia Centre Doctors' Organisation and the British Society for Haematology. </w:t>
            </w:r>
            <w:r w:rsidRPr="00C43A5D">
              <w:rPr>
                <w:b w:val="0"/>
                <w:bCs/>
                <w:i/>
                <w:iCs/>
              </w:rPr>
              <w:t xml:space="preserve">Br J </w:t>
            </w:r>
            <w:proofErr w:type="spellStart"/>
            <w:r w:rsidRPr="00C43A5D">
              <w:rPr>
                <w:b w:val="0"/>
                <w:bCs/>
                <w:i/>
                <w:iCs/>
              </w:rPr>
              <w:t>Haematol</w:t>
            </w:r>
            <w:proofErr w:type="spellEnd"/>
            <w:r w:rsidRPr="00402330">
              <w:rPr>
                <w:b w:val="0"/>
                <w:bCs/>
              </w:rPr>
              <w:t xml:space="preserve"> 2024;204:1714–1731.</w:t>
            </w:r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553357E3" w14:textId="71473D12" w:rsidR="002C046B" w:rsidRDefault="002C046B" w:rsidP="002C046B">
      <w:pPr>
        <w:pStyle w:val="Heading2"/>
      </w:pPr>
      <w:r>
        <w:br w:type="page"/>
      </w:r>
      <w:r>
        <w:lastRenderedPageBreak/>
        <w:t>D</w:t>
      </w:r>
      <w:r w:rsidRPr="00E445F2">
        <w:t xml:space="preserve">ata collection proforma </w:t>
      </w:r>
      <w:r w:rsidR="00402330" w:rsidRPr="00116704">
        <w:t xml:space="preserve">the </w:t>
      </w:r>
      <w:r w:rsidR="00402330">
        <w:t xml:space="preserve">laboratory </w:t>
      </w:r>
      <w:r w:rsidR="00402330" w:rsidRPr="00116704">
        <w:t>diagnosis and monitoring of von Willebrand disease</w:t>
      </w:r>
      <w:r w:rsidR="00402330" w:rsidRPr="00E445F2" w:rsidDel="00402330">
        <w:t xml:space="preserve"> </w:t>
      </w:r>
    </w:p>
    <w:p w14:paraId="3C2E1AFD" w14:textId="5E676878" w:rsidR="00253E1A" w:rsidRPr="009349D7" w:rsidRDefault="009929C5" w:rsidP="001F037A">
      <w:pPr>
        <w:pStyle w:val="Heading2"/>
      </w:pPr>
      <w:r w:rsidRPr="009349D7">
        <w:t xml:space="preserve">Audit reviewing </w:t>
      </w:r>
      <w:r w:rsidR="0085781D">
        <w:rPr>
          <w:szCs w:val="24"/>
        </w:rPr>
        <w:t>practice</w:t>
      </w:r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110865F9" w14:textId="5A89209F" w:rsidR="00BF12ED" w:rsidRPr="009349D7" w:rsidRDefault="00BF12ED" w:rsidP="001F037A">
      <w:r w:rsidRPr="009349D7">
        <w:t>Patient name:</w:t>
      </w:r>
    </w:p>
    <w:p w14:paraId="58B926AE" w14:textId="59B56AAC" w:rsidR="00BF12ED" w:rsidRPr="009349D7" w:rsidRDefault="00BF12ED" w:rsidP="001F037A">
      <w:r w:rsidRPr="009349D7">
        <w:t>Hospital number:</w:t>
      </w:r>
    </w:p>
    <w:p w14:paraId="4030B05B" w14:textId="5DA3D8ED" w:rsidR="00603ECE" w:rsidRPr="001F037A" w:rsidRDefault="00BF12ED" w:rsidP="0045287D">
      <w:r w:rsidRPr="009349D7">
        <w:t xml:space="preserve">Date of birth: </w:t>
      </w:r>
      <w:r w:rsidRPr="009349D7">
        <w:tab/>
      </w:r>
      <w:r w:rsidRPr="009349D7">
        <w:tab/>
      </w:r>
      <w:r w:rsidRPr="009349D7"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5"/>
        <w:gridCol w:w="84"/>
        <w:gridCol w:w="704"/>
        <w:gridCol w:w="23"/>
        <w:gridCol w:w="972"/>
        <w:gridCol w:w="20"/>
        <w:gridCol w:w="2268"/>
        <w:gridCol w:w="14"/>
        <w:gridCol w:w="2259"/>
      </w:tblGrid>
      <w:tr w:rsidR="008123A7" w14:paraId="09CD975F" w14:textId="77777777" w:rsidTr="00C43A5D">
        <w:trPr>
          <w:trHeight w:val="20"/>
        </w:trPr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7D6B" w14:textId="77777777" w:rsidR="008123A7" w:rsidRPr="00C43A5D" w:rsidRDefault="008123A7" w:rsidP="007E0222">
            <w:pPr>
              <w:pStyle w:val="Heading3"/>
              <w:spacing w:before="100" w:after="100"/>
              <w:rPr>
                <w:color w:val="000000"/>
                <w:szCs w:val="24"/>
              </w:rPr>
            </w:pPr>
            <w:r w:rsidRPr="00C43A5D">
              <w:rPr>
                <w:color w:val="000000"/>
                <w:szCs w:val="24"/>
              </w:rPr>
              <w:t>Standard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6B50BB" w14:textId="77777777" w:rsidR="008123A7" w:rsidRPr="00C43A5D" w:rsidRDefault="008123A7" w:rsidP="008123A7">
            <w:pPr>
              <w:pStyle w:val="Heading3"/>
              <w:rPr>
                <w:szCs w:val="24"/>
              </w:rPr>
            </w:pPr>
            <w:r w:rsidRPr="00C43A5D">
              <w:rPr>
                <w:szCs w:val="24"/>
              </w:rPr>
              <w:t>1</w:t>
            </w:r>
          </w:p>
          <w:p w14:paraId="4A04EE20" w14:textId="77777777" w:rsidR="008123A7" w:rsidRPr="00C43A5D" w:rsidRDefault="008123A7" w:rsidP="008123A7">
            <w:pPr>
              <w:pStyle w:val="Heading3"/>
              <w:rPr>
                <w:szCs w:val="24"/>
              </w:rPr>
            </w:pPr>
            <w:r w:rsidRPr="00C43A5D">
              <w:rPr>
                <w:szCs w:val="24"/>
              </w:rPr>
              <w:t xml:space="preserve">Yes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01373" w14:textId="77777777" w:rsidR="008123A7" w:rsidRPr="00C43A5D" w:rsidRDefault="008123A7" w:rsidP="008123A7">
            <w:pPr>
              <w:pStyle w:val="Heading3"/>
              <w:rPr>
                <w:szCs w:val="24"/>
              </w:rPr>
            </w:pPr>
            <w:r w:rsidRPr="00C43A5D">
              <w:rPr>
                <w:szCs w:val="24"/>
              </w:rPr>
              <w:t>2</w:t>
            </w:r>
          </w:p>
          <w:p w14:paraId="6166E3BD" w14:textId="77777777" w:rsidR="008123A7" w:rsidRPr="00C43A5D" w:rsidRDefault="008123A7" w:rsidP="008123A7">
            <w:pPr>
              <w:pStyle w:val="Heading3"/>
              <w:rPr>
                <w:szCs w:val="24"/>
              </w:rPr>
            </w:pPr>
            <w:r w:rsidRPr="00C43A5D">
              <w:rPr>
                <w:szCs w:val="24"/>
              </w:rPr>
              <w:t>No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602" w14:textId="77777777" w:rsidR="008123A7" w:rsidRPr="00C43A5D" w:rsidRDefault="008123A7" w:rsidP="00C43A5D">
            <w:pPr>
              <w:pStyle w:val="Heading3"/>
              <w:ind w:left="340" w:hanging="340"/>
              <w:rPr>
                <w:szCs w:val="24"/>
              </w:rPr>
            </w:pPr>
            <w:r w:rsidRPr="00C43A5D">
              <w:rPr>
                <w:szCs w:val="24"/>
              </w:rPr>
              <w:t>3</w:t>
            </w:r>
            <w:r w:rsidRPr="00C43A5D">
              <w:rPr>
                <w:szCs w:val="24"/>
              </w:rPr>
              <w:tab/>
            </w:r>
            <w:r w:rsidRPr="00C43A5D">
              <w:rPr>
                <w:b w:val="0"/>
                <w:bCs w:val="0"/>
                <w:szCs w:val="24"/>
              </w:rPr>
              <w:t>If shaded box not ticked, was there documentation to explain the variance?</w:t>
            </w:r>
            <w:r w:rsidRPr="00C43A5D">
              <w:rPr>
                <w:szCs w:val="24"/>
              </w:rPr>
              <w:br/>
              <w:t xml:space="preserve">Yes/No </w:t>
            </w:r>
            <w:r w:rsidRPr="00C43A5D">
              <w:rPr>
                <w:b w:val="0"/>
                <w:bCs w:val="0"/>
                <w:szCs w:val="24"/>
              </w:rPr>
              <w:t>plus free-text comment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373A" w14:textId="77777777" w:rsidR="008123A7" w:rsidRPr="00C43A5D" w:rsidRDefault="008123A7" w:rsidP="00C43A5D">
            <w:pPr>
              <w:pStyle w:val="Heading3"/>
              <w:ind w:left="298" w:hanging="298"/>
              <w:rPr>
                <w:szCs w:val="24"/>
              </w:rPr>
            </w:pPr>
            <w:r w:rsidRPr="00C43A5D">
              <w:rPr>
                <w:szCs w:val="24"/>
              </w:rPr>
              <w:t>4</w:t>
            </w:r>
            <w:r w:rsidRPr="00C43A5D">
              <w:rPr>
                <w:szCs w:val="24"/>
              </w:rPr>
              <w:tab/>
            </w:r>
            <w:r w:rsidRPr="00C43A5D">
              <w:rPr>
                <w:b w:val="0"/>
                <w:bCs w:val="0"/>
                <w:szCs w:val="24"/>
              </w:rPr>
              <w:t>Compliant with guideline if shaded box ticked or an appropriate explanation from column 3.</w:t>
            </w:r>
            <w:r w:rsidRPr="00C43A5D">
              <w:rPr>
                <w:szCs w:val="24"/>
              </w:rPr>
              <w:t xml:space="preserve"> Yes/No</w:t>
            </w:r>
            <w:r w:rsidRPr="00C43A5D">
              <w:rPr>
                <w:szCs w:val="24"/>
              </w:rPr>
              <w:br/>
            </w:r>
            <w:r w:rsidRPr="00C43A5D">
              <w:rPr>
                <w:b w:val="0"/>
                <w:bCs w:val="0"/>
                <w:szCs w:val="24"/>
              </w:rPr>
              <w:t>(Record if standard not applicable)</w:t>
            </w:r>
          </w:p>
        </w:tc>
      </w:tr>
      <w:tr w:rsidR="008123A7" w:rsidRPr="00F13979" w14:paraId="17FD1658" w14:textId="77777777" w:rsidTr="00C43A5D">
        <w:tc>
          <w:tcPr>
            <w:tcW w:w="9639" w:type="dxa"/>
            <w:gridSpan w:val="9"/>
          </w:tcPr>
          <w:p w14:paraId="2F34CF2F" w14:textId="77777777" w:rsidR="008123A7" w:rsidRPr="00C43A5D" w:rsidRDefault="008123A7" w:rsidP="007E0222">
            <w:pPr>
              <w:rPr>
                <w:rFonts w:cs="Arial"/>
                <w:b/>
                <w:bCs/>
                <w:color w:val="000000"/>
                <w:szCs w:val="24"/>
              </w:rPr>
            </w:pPr>
            <w:r w:rsidRPr="00C43A5D">
              <w:rPr>
                <w:rFonts w:cs="Arial"/>
                <w:b/>
                <w:bCs/>
                <w:color w:val="000000"/>
                <w:szCs w:val="24"/>
              </w:rPr>
              <w:t xml:space="preserve">Sample handling and transportation </w:t>
            </w:r>
          </w:p>
        </w:tc>
      </w:tr>
      <w:tr w:rsidR="00CA67FB" w:rsidRPr="00B67BA4" w14:paraId="72DC7A98" w14:textId="77777777" w:rsidTr="00C43A5D">
        <w:tc>
          <w:tcPr>
            <w:tcW w:w="3295" w:type="dxa"/>
          </w:tcPr>
          <w:p w14:paraId="634EE065" w14:textId="74D58EEF" w:rsidR="008123A7" w:rsidRPr="00C43A5D" w:rsidRDefault="008123A7" w:rsidP="007E0222">
            <w:pPr>
              <w:pStyle w:val="Standard"/>
              <w:spacing w:after="0"/>
              <w:rPr>
                <w:szCs w:val="24"/>
              </w:rPr>
            </w:pPr>
            <w:r w:rsidRPr="00C43A5D">
              <w:rPr>
                <w:b/>
                <w:bCs/>
                <w:szCs w:val="24"/>
              </w:rPr>
              <w:t>1  </w:t>
            </w:r>
            <w:r w:rsidRPr="00C43A5D">
              <w:rPr>
                <w:szCs w:val="24"/>
              </w:rPr>
              <w:t>Whole blood samples for coagulation tests were maintained at an ambient temperature of 18–25°C during both transport and storage prior to processing</w:t>
            </w:r>
          </w:p>
        </w:tc>
        <w:tc>
          <w:tcPr>
            <w:tcW w:w="811" w:type="dxa"/>
            <w:gridSpan w:val="3"/>
            <w:shd w:val="clear" w:color="auto" w:fill="D9D9D9"/>
          </w:tcPr>
          <w:p w14:paraId="640365E5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168EEE9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61A24FFC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73" w:type="dxa"/>
            <w:gridSpan w:val="2"/>
          </w:tcPr>
          <w:p w14:paraId="2AE373C1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CA67FB" w:rsidRPr="00B67BA4" w14:paraId="7C6BFD99" w14:textId="77777777" w:rsidTr="00C43A5D">
        <w:tc>
          <w:tcPr>
            <w:tcW w:w="3295" w:type="dxa"/>
          </w:tcPr>
          <w:p w14:paraId="0F57FE00" w14:textId="048D370C" w:rsidR="008123A7" w:rsidRPr="00C43A5D" w:rsidRDefault="008123A7" w:rsidP="007E0222">
            <w:pPr>
              <w:pStyle w:val="Standard"/>
              <w:spacing w:after="0"/>
              <w:rPr>
                <w:szCs w:val="24"/>
              </w:rPr>
            </w:pPr>
            <w:r w:rsidRPr="00C43A5D">
              <w:rPr>
                <w:b/>
                <w:bCs/>
                <w:szCs w:val="24"/>
              </w:rPr>
              <w:t>2  </w:t>
            </w:r>
            <w:r w:rsidRPr="00C43A5D">
              <w:rPr>
                <w:szCs w:val="24"/>
              </w:rPr>
              <w:t>The time between sample collection and testing (or freezing) of citrated plasma for VWD assays was &lt;12 hours</w:t>
            </w:r>
          </w:p>
        </w:tc>
        <w:tc>
          <w:tcPr>
            <w:tcW w:w="811" w:type="dxa"/>
            <w:gridSpan w:val="3"/>
            <w:shd w:val="clear" w:color="auto" w:fill="D9D9D9"/>
          </w:tcPr>
          <w:p w14:paraId="3DB80551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7B0BA8F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31F1DA64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73" w:type="dxa"/>
            <w:gridSpan w:val="2"/>
          </w:tcPr>
          <w:p w14:paraId="2653EB06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8123A7" w:rsidRPr="00F13979" w14:paraId="78AE1D90" w14:textId="77777777" w:rsidTr="00C43A5D">
        <w:tc>
          <w:tcPr>
            <w:tcW w:w="9639" w:type="dxa"/>
            <w:gridSpan w:val="9"/>
          </w:tcPr>
          <w:p w14:paraId="55ECCE2B" w14:textId="77777777" w:rsidR="008123A7" w:rsidRPr="00C43A5D" w:rsidRDefault="008123A7" w:rsidP="007E0222">
            <w:pPr>
              <w:rPr>
                <w:rFonts w:cs="Arial"/>
                <w:b/>
                <w:bCs/>
                <w:color w:val="000000"/>
                <w:szCs w:val="24"/>
              </w:rPr>
            </w:pPr>
            <w:r w:rsidRPr="00C43A5D">
              <w:rPr>
                <w:rFonts w:cs="Arial"/>
                <w:b/>
                <w:bCs/>
                <w:color w:val="000000"/>
                <w:szCs w:val="24"/>
              </w:rPr>
              <w:t>Initial laboratory investigations</w:t>
            </w:r>
          </w:p>
        </w:tc>
      </w:tr>
      <w:tr w:rsidR="00CA67FB" w:rsidRPr="00B67BA4" w14:paraId="675CD379" w14:textId="77777777" w:rsidTr="00C43A5D">
        <w:tc>
          <w:tcPr>
            <w:tcW w:w="3295" w:type="dxa"/>
          </w:tcPr>
          <w:p w14:paraId="4AB10443" w14:textId="366E12C3" w:rsidR="008123A7" w:rsidRPr="00C43A5D" w:rsidRDefault="008123A7" w:rsidP="007E0222">
            <w:pPr>
              <w:pStyle w:val="Standard"/>
              <w:spacing w:after="0"/>
              <w:rPr>
                <w:bCs/>
                <w:szCs w:val="24"/>
              </w:rPr>
            </w:pPr>
            <w:r w:rsidRPr="00C43A5D">
              <w:rPr>
                <w:b/>
                <w:szCs w:val="24"/>
              </w:rPr>
              <w:t>1  </w:t>
            </w:r>
            <w:r w:rsidRPr="00C43A5D">
              <w:rPr>
                <w:szCs w:val="24"/>
              </w:rPr>
              <w:t xml:space="preserve">An FBC (including mean platelet volume) with a blood film for platelet morphology was performed on all </w:t>
            </w:r>
            <w:r w:rsidRPr="00C43A5D">
              <w:rPr>
                <w:szCs w:val="24"/>
              </w:rPr>
              <w:lastRenderedPageBreak/>
              <w:t>individuals being investigated for VWD/AVWS</w:t>
            </w:r>
          </w:p>
        </w:tc>
        <w:tc>
          <w:tcPr>
            <w:tcW w:w="811" w:type="dxa"/>
            <w:gridSpan w:val="3"/>
            <w:shd w:val="clear" w:color="auto" w:fill="D9D9D9"/>
          </w:tcPr>
          <w:p w14:paraId="03FD6E5D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C7F881B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33952EA1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73" w:type="dxa"/>
            <w:gridSpan w:val="2"/>
          </w:tcPr>
          <w:p w14:paraId="7D2AA084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CA67FB" w:rsidRPr="00B67BA4" w14:paraId="59EDECD5" w14:textId="77777777" w:rsidTr="00C43A5D">
        <w:tc>
          <w:tcPr>
            <w:tcW w:w="3295" w:type="dxa"/>
          </w:tcPr>
          <w:p w14:paraId="6F29BBF8" w14:textId="77777777" w:rsidR="008123A7" w:rsidRPr="00C43A5D" w:rsidRDefault="008123A7" w:rsidP="007E0222">
            <w:pPr>
              <w:pStyle w:val="Standard"/>
              <w:spacing w:after="0"/>
              <w:rPr>
                <w:b/>
                <w:szCs w:val="24"/>
              </w:rPr>
            </w:pPr>
            <w:r w:rsidRPr="00C43A5D">
              <w:rPr>
                <w:b/>
                <w:szCs w:val="24"/>
              </w:rPr>
              <w:t>2 </w:t>
            </w:r>
            <w:r w:rsidRPr="00C43A5D">
              <w:rPr>
                <w:szCs w:val="24"/>
              </w:rPr>
              <w:t>Assays for PT, APTT and Clauss fibrinogen, were performed on all individuals being investigated for VWD/AVWS</w:t>
            </w:r>
          </w:p>
        </w:tc>
        <w:tc>
          <w:tcPr>
            <w:tcW w:w="811" w:type="dxa"/>
            <w:gridSpan w:val="3"/>
            <w:shd w:val="clear" w:color="auto" w:fill="D9D9D9"/>
          </w:tcPr>
          <w:p w14:paraId="2F1D1254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954F676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1B7FCD75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73" w:type="dxa"/>
            <w:gridSpan w:val="2"/>
          </w:tcPr>
          <w:p w14:paraId="10F9CB03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8123A7" w:rsidRPr="00F13979" w14:paraId="78F6F81D" w14:textId="77777777" w:rsidTr="00C43A5D">
        <w:tc>
          <w:tcPr>
            <w:tcW w:w="9639" w:type="dxa"/>
            <w:gridSpan w:val="9"/>
          </w:tcPr>
          <w:p w14:paraId="17A390CE" w14:textId="77777777" w:rsidR="008123A7" w:rsidRPr="00C43A5D" w:rsidRDefault="008123A7" w:rsidP="007E0222">
            <w:pPr>
              <w:rPr>
                <w:rFonts w:cs="Arial"/>
                <w:b/>
                <w:bCs/>
                <w:color w:val="000000"/>
                <w:szCs w:val="24"/>
              </w:rPr>
            </w:pPr>
            <w:r w:rsidRPr="00C43A5D">
              <w:rPr>
                <w:rFonts w:cs="Arial"/>
                <w:b/>
                <w:bCs/>
                <w:color w:val="000000"/>
                <w:szCs w:val="24"/>
              </w:rPr>
              <w:t>Initial diagnostic tests for VWD/AVWS</w:t>
            </w:r>
          </w:p>
        </w:tc>
      </w:tr>
      <w:tr w:rsidR="00CA67FB" w:rsidRPr="00B67BA4" w14:paraId="5697665F" w14:textId="77777777" w:rsidTr="00C43A5D">
        <w:tc>
          <w:tcPr>
            <w:tcW w:w="3295" w:type="dxa"/>
          </w:tcPr>
          <w:p w14:paraId="3599631A" w14:textId="385E2841" w:rsidR="008123A7" w:rsidRPr="00C43A5D" w:rsidRDefault="008123A7" w:rsidP="007E0222">
            <w:pPr>
              <w:pStyle w:val="Standard"/>
              <w:spacing w:after="0"/>
              <w:rPr>
                <w:szCs w:val="24"/>
              </w:rPr>
            </w:pPr>
            <w:r w:rsidRPr="00C43A5D">
              <w:rPr>
                <w:b/>
                <w:szCs w:val="24"/>
              </w:rPr>
              <w:t>1</w:t>
            </w:r>
            <w:r w:rsidRPr="00C43A5D">
              <w:rPr>
                <w:b/>
                <w:bCs/>
                <w:szCs w:val="24"/>
              </w:rPr>
              <w:t>  </w:t>
            </w:r>
            <w:r w:rsidRPr="00C43A5D">
              <w:rPr>
                <w:szCs w:val="24"/>
              </w:rPr>
              <w:t xml:space="preserve">Initial investigations for VWD or AVWS measured FVIII:C (by OSCA or CSA), VWF antigen, and VWF activity (by </w:t>
            </w:r>
            <w:proofErr w:type="spellStart"/>
            <w:r w:rsidRPr="00C43A5D">
              <w:rPr>
                <w:szCs w:val="24"/>
              </w:rPr>
              <w:t>VWF:RCo</w:t>
            </w:r>
            <w:proofErr w:type="spellEnd"/>
            <w:r w:rsidRPr="00C43A5D">
              <w:rPr>
                <w:szCs w:val="24"/>
              </w:rPr>
              <w:t xml:space="preserve">, </w:t>
            </w:r>
            <w:proofErr w:type="spellStart"/>
            <w:r w:rsidRPr="00C43A5D">
              <w:rPr>
                <w:szCs w:val="24"/>
              </w:rPr>
              <w:t>VWF:GPIbR</w:t>
            </w:r>
            <w:proofErr w:type="spellEnd"/>
            <w:r w:rsidRPr="00C43A5D">
              <w:rPr>
                <w:szCs w:val="24"/>
              </w:rPr>
              <w:t xml:space="preserve"> or </w:t>
            </w:r>
            <w:proofErr w:type="spellStart"/>
            <w:r w:rsidRPr="00C43A5D">
              <w:rPr>
                <w:szCs w:val="24"/>
              </w:rPr>
              <w:t>VWF:GPIbM</w:t>
            </w:r>
            <w:proofErr w:type="spellEnd"/>
            <w:r w:rsidRPr="00C43A5D">
              <w:rPr>
                <w:szCs w:val="24"/>
              </w:rPr>
              <w:t>)</w:t>
            </w:r>
          </w:p>
        </w:tc>
        <w:tc>
          <w:tcPr>
            <w:tcW w:w="811" w:type="dxa"/>
            <w:gridSpan w:val="3"/>
            <w:shd w:val="clear" w:color="auto" w:fill="D9D9D9"/>
          </w:tcPr>
          <w:p w14:paraId="587BABF1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B80320A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200C7C48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73" w:type="dxa"/>
            <w:gridSpan w:val="2"/>
          </w:tcPr>
          <w:p w14:paraId="1A08970C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CA67FB" w:rsidRPr="00B67BA4" w14:paraId="5E125EEE" w14:textId="77777777" w:rsidTr="00C43A5D">
        <w:tc>
          <w:tcPr>
            <w:tcW w:w="3295" w:type="dxa"/>
          </w:tcPr>
          <w:p w14:paraId="093F4180" w14:textId="2ACC0127" w:rsidR="008123A7" w:rsidRPr="00C43A5D" w:rsidRDefault="008123A7" w:rsidP="007E0222">
            <w:pPr>
              <w:pStyle w:val="Standard"/>
              <w:spacing w:after="0"/>
              <w:rPr>
                <w:szCs w:val="24"/>
              </w:rPr>
            </w:pPr>
            <w:r w:rsidRPr="00C43A5D">
              <w:rPr>
                <w:b/>
                <w:bCs/>
                <w:szCs w:val="24"/>
              </w:rPr>
              <w:t>2  </w:t>
            </w:r>
            <w:r w:rsidRPr="00C43A5D">
              <w:rPr>
                <w:szCs w:val="24"/>
              </w:rPr>
              <w:t>Laboratories calibrated assays using plasmas that are traceable to the international standard for FVIII:C and for VWF, and results were reported in IU/dL</w:t>
            </w:r>
          </w:p>
        </w:tc>
        <w:tc>
          <w:tcPr>
            <w:tcW w:w="811" w:type="dxa"/>
            <w:gridSpan w:val="3"/>
            <w:shd w:val="clear" w:color="auto" w:fill="D9D9D9"/>
          </w:tcPr>
          <w:p w14:paraId="5AC0900F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8637102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09F3203D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73" w:type="dxa"/>
            <w:gridSpan w:val="2"/>
          </w:tcPr>
          <w:p w14:paraId="4F2874B7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CA67FB" w:rsidRPr="00B67BA4" w14:paraId="10BAEF36" w14:textId="77777777" w:rsidTr="00C43A5D">
        <w:tc>
          <w:tcPr>
            <w:tcW w:w="3295" w:type="dxa"/>
          </w:tcPr>
          <w:p w14:paraId="01D0B11F" w14:textId="241D3E53" w:rsidR="008123A7" w:rsidRPr="00C43A5D" w:rsidRDefault="008123A7" w:rsidP="007E0222">
            <w:pPr>
              <w:pStyle w:val="Standard"/>
              <w:spacing w:after="0"/>
              <w:rPr>
                <w:szCs w:val="24"/>
              </w:rPr>
            </w:pPr>
            <w:r w:rsidRPr="00C43A5D">
              <w:rPr>
                <w:b/>
                <w:bCs/>
                <w:szCs w:val="24"/>
              </w:rPr>
              <w:t>3  </w:t>
            </w:r>
            <w:r w:rsidRPr="00C43A5D">
              <w:rPr>
                <w:szCs w:val="24"/>
              </w:rPr>
              <w:t xml:space="preserve">Laboratory methods measuring </w:t>
            </w:r>
            <w:proofErr w:type="spellStart"/>
            <w:r w:rsidRPr="00C43A5D">
              <w:rPr>
                <w:szCs w:val="24"/>
              </w:rPr>
              <w:t>VWF:Ag</w:t>
            </w:r>
            <w:proofErr w:type="spellEnd"/>
            <w:r w:rsidRPr="00C43A5D">
              <w:rPr>
                <w:szCs w:val="24"/>
              </w:rPr>
              <w:t xml:space="preserve"> to diagnose type 3 VWD, were demonstrably capable of measuring to levels &lt;1 IU/dL</w:t>
            </w:r>
          </w:p>
        </w:tc>
        <w:tc>
          <w:tcPr>
            <w:tcW w:w="811" w:type="dxa"/>
            <w:gridSpan w:val="3"/>
            <w:shd w:val="clear" w:color="auto" w:fill="D9D9D9"/>
          </w:tcPr>
          <w:p w14:paraId="3E27B1E0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3DFC063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09E45090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73" w:type="dxa"/>
            <w:gridSpan w:val="2"/>
          </w:tcPr>
          <w:p w14:paraId="16F35971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8123A7" w:rsidRPr="00F723FD" w14:paraId="0190A703" w14:textId="77777777" w:rsidTr="00C43A5D">
        <w:tc>
          <w:tcPr>
            <w:tcW w:w="9639" w:type="dxa"/>
            <w:gridSpan w:val="9"/>
          </w:tcPr>
          <w:p w14:paraId="6E77B611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b/>
                <w:bCs/>
                <w:szCs w:val="24"/>
              </w:rPr>
            </w:pPr>
            <w:r w:rsidRPr="00C43A5D">
              <w:rPr>
                <w:rFonts w:cs="Arial"/>
                <w:b/>
                <w:bCs/>
                <w:color w:val="000000"/>
                <w:szCs w:val="24"/>
              </w:rPr>
              <w:t>Additional investigations for VWD classification</w:t>
            </w:r>
          </w:p>
        </w:tc>
      </w:tr>
      <w:tr w:rsidR="00CA67FB" w:rsidRPr="00B67BA4" w14:paraId="7B99F08A" w14:textId="77777777" w:rsidTr="00C43A5D">
        <w:tc>
          <w:tcPr>
            <w:tcW w:w="3295" w:type="dxa"/>
          </w:tcPr>
          <w:p w14:paraId="2563C2E2" w14:textId="52E877D5" w:rsidR="008123A7" w:rsidRPr="00C43A5D" w:rsidRDefault="008123A7" w:rsidP="007E0222">
            <w:pPr>
              <w:pStyle w:val="Standard"/>
              <w:spacing w:after="0"/>
              <w:rPr>
                <w:szCs w:val="24"/>
              </w:rPr>
            </w:pPr>
            <w:r w:rsidRPr="00C43A5D">
              <w:rPr>
                <w:b/>
                <w:bCs/>
                <w:szCs w:val="24"/>
              </w:rPr>
              <w:t>1  </w:t>
            </w:r>
            <w:r w:rsidRPr="00C43A5D">
              <w:rPr>
                <w:color w:val="000000"/>
                <w:szCs w:val="24"/>
              </w:rPr>
              <w:t>Multimer analysis was performed in a specialised haemostasis laboratory with experience of performing the analysis and interpretation of the results, and which participates in appropriate EQA</w:t>
            </w:r>
          </w:p>
        </w:tc>
        <w:tc>
          <w:tcPr>
            <w:tcW w:w="811" w:type="dxa"/>
            <w:gridSpan w:val="3"/>
            <w:shd w:val="clear" w:color="auto" w:fill="D9D9D9"/>
          </w:tcPr>
          <w:p w14:paraId="7F3812B1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5321DA8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0EA86FF4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73" w:type="dxa"/>
            <w:gridSpan w:val="2"/>
          </w:tcPr>
          <w:p w14:paraId="6EDBA6C6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CA67FB" w:rsidRPr="00B67BA4" w14:paraId="29691C13" w14:textId="77777777" w:rsidTr="00C43A5D">
        <w:tc>
          <w:tcPr>
            <w:tcW w:w="3295" w:type="dxa"/>
          </w:tcPr>
          <w:p w14:paraId="5BADCCA7" w14:textId="48E926C0" w:rsidR="008123A7" w:rsidRPr="00C43A5D" w:rsidRDefault="008123A7" w:rsidP="007E0222">
            <w:pPr>
              <w:pStyle w:val="Standard"/>
              <w:spacing w:after="0"/>
              <w:rPr>
                <w:szCs w:val="24"/>
              </w:rPr>
            </w:pPr>
            <w:r w:rsidRPr="00C43A5D">
              <w:rPr>
                <w:b/>
                <w:bCs/>
                <w:iCs/>
                <w:szCs w:val="24"/>
              </w:rPr>
              <w:t>2  </w:t>
            </w:r>
            <w:r w:rsidRPr="00C43A5D">
              <w:rPr>
                <w:color w:val="000000"/>
                <w:szCs w:val="24"/>
              </w:rPr>
              <w:t>Individuals with a newly identified reduced FVIII:C/</w:t>
            </w:r>
            <w:proofErr w:type="spellStart"/>
            <w:r w:rsidRPr="00C43A5D">
              <w:rPr>
                <w:color w:val="000000"/>
                <w:szCs w:val="24"/>
              </w:rPr>
              <w:t>VWF:Ag</w:t>
            </w:r>
            <w:proofErr w:type="spellEnd"/>
            <w:r w:rsidRPr="00C43A5D">
              <w:rPr>
                <w:color w:val="000000"/>
                <w:szCs w:val="24"/>
              </w:rPr>
              <w:t xml:space="preserve"> ratio have undergone genetic testing for suspected type 2N VWD/haemophilia A</w:t>
            </w:r>
          </w:p>
        </w:tc>
        <w:tc>
          <w:tcPr>
            <w:tcW w:w="811" w:type="dxa"/>
            <w:gridSpan w:val="3"/>
            <w:shd w:val="clear" w:color="auto" w:fill="D9D9D9"/>
          </w:tcPr>
          <w:p w14:paraId="3590F983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5C0DE13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23143D52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73" w:type="dxa"/>
            <w:gridSpan w:val="2"/>
          </w:tcPr>
          <w:p w14:paraId="5A813207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CA67FB" w:rsidRPr="00B67BA4" w14:paraId="2FF459EA" w14:textId="77777777" w:rsidTr="00C43A5D">
        <w:tc>
          <w:tcPr>
            <w:tcW w:w="3295" w:type="dxa"/>
          </w:tcPr>
          <w:p w14:paraId="4066BD19" w14:textId="2AB7CB57" w:rsidR="008123A7" w:rsidRPr="00C43A5D" w:rsidRDefault="008123A7" w:rsidP="007E0222">
            <w:pPr>
              <w:pStyle w:val="Standard"/>
              <w:spacing w:after="0"/>
              <w:rPr>
                <w:bCs/>
                <w:i/>
                <w:iCs/>
                <w:szCs w:val="24"/>
              </w:rPr>
            </w:pPr>
            <w:r w:rsidRPr="00C43A5D">
              <w:rPr>
                <w:b/>
                <w:bCs/>
                <w:color w:val="000000"/>
                <w:szCs w:val="24"/>
              </w:rPr>
              <w:lastRenderedPageBreak/>
              <w:t>3  </w:t>
            </w:r>
            <w:r w:rsidRPr="00C43A5D">
              <w:rPr>
                <w:color w:val="000000"/>
                <w:szCs w:val="24"/>
              </w:rPr>
              <w:t>Individuals with suspected type 2B VWD or PT-VWD have undergone genetic testing</w:t>
            </w:r>
          </w:p>
        </w:tc>
        <w:tc>
          <w:tcPr>
            <w:tcW w:w="811" w:type="dxa"/>
            <w:gridSpan w:val="3"/>
            <w:shd w:val="clear" w:color="auto" w:fill="D9D9D9"/>
          </w:tcPr>
          <w:p w14:paraId="40714AC3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54DFD25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2BF55A45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73" w:type="dxa"/>
            <w:gridSpan w:val="2"/>
          </w:tcPr>
          <w:p w14:paraId="7E94DD22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CA67FB" w:rsidRPr="00B67BA4" w14:paraId="7EDBA243" w14:textId="77777777" w:rsidTr="00C43A5D">
        <w:tc>
          <w:tcPr>
            <w:tcW w:w="3295" w:type="dxa"/>
          </w:tcPr>
          <w:p w14:paraId="4C2A2386" w14:textId="65BDA917" w:rsidR="008123A7" w:rsidRPr="00C43A5D" w:rsidRDefault="008123A7" w:rsidP="007E0222">
            <w:pPr>
              <w:pStyle w:val="Standard"/>
              <w:spacing w:after="0"/>
              <w:rPr>
                <w:b/>
                <w:szCs w:val="24"/>
              </w:rPr>
            </w:pPr>
            <w:r w:rsidRPr="00C43A5D">
              <w:rPr>
                <w:b/>
                <w:szCs w:val="24"/>
              </w:rPr>
              <w:t>4</w:t>
            </w:r>
            <w:r w:rsidRPr="00C43A5D">
              <w:rPr>
                <w:b/>
                <w:bCs/>
                <w:szCs w:val="24"/>
              </w:rPr>
              <w:t>  </w:t>
            </w:r>
            <w:r w:rsidRPr="00C43A5D">
              <w:rPr>
                <w:color w:val="000000"/>
                <w:szCs w:val="24"/>
              </w:rPr>
              <w:t>Individuals with reduced VWF half-life to DDAVP have undergone genetic testing for VWD-Vicenza</w:t>
            </w:r>
          </w:p>
        </w:tc>
        <w:tc>
          <w:tcPr>
            <w:tcW w:w="811" w:type="dxa"/>
            <w:gridSpan w:val="3"/>
            <w:shd w:val="clear" w:color="auto" w:fill="D9D9D9"/>
          </w:tcPr>
          <w:p w14:paraId="07A1AA65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0128895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420E9631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73" w:type="dxa"/>
            <w:gridSpan w:val="2"/>
          </w:tcPr>
          <w:p w14:paraId="44A4BC61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8123A7" w:rsidRPr="00B67BA4" w14:paraId="7B760C58" w14:textId="77777777" w:rsidTr="00C43A5D">
        <w:tc>
          <w:tcPr>
            <w:tcW w:w="9639" w:type="dxa"/>
            <w:gridSpan w:val="9"/>
          </w:tcPr>
          <w:p w14:paraId="4AECDA0D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b/>
                <w:bCs/>
                <w:szCs w:val="24"/>
              </w:rPr>
            </w:pPr>
            <w:r w:rsidRPr="00C43A5D">
              <w:rPr>
                <w:rFonts w:cs="Arial"/>
                <w:b/>
                <w:bCs/>
                <w:color w:val="000000"/>
                <w:szCs w:val="24"/>
              </w:rPr>
              <w:t>Genetic or genomic testing</w:t>
            </w:r>
          </w:p>
        </w:tc>
      </w:tr>
      <w:tr w:rsidR="00CA67FB" w:rsidRPr="00B67BA4" w14:paraId="2175FFAC" w14:textId="77777777" w:rsidTr="00C43A5D">
        <w:tc>
          <w:tcPr>
            <w:tcW w:w="3295" w:type="dxa"/>
          </w:tcPr>
          <w:p w14:paraId="7AC4942F" w14:textId="43943FD9" w:rsidR="008123A7" w:rsidRPr="00C43A5D" w:rsidRDefault="008123A7" w:rsidP="007E0222">
            <w:pPr>
              <w:spacing w:line="276" w:lineRule="auto"/>
              <w:rPr>
                <w:rFonts w:cs="Arial"/>
                <w:szCs w:val="24"/>
              </w:rPr>
            </w:pPr>
            <w:r w:rsidRPr="00C43A5D">
              <w:rPr>
                <w:rFonts w:cs="Arial"/>
                <w:b/>
                <w:bCs/>
                <w:color w:val="000000"/>
                <w:szCs w:val="24"/>
              </w:rPr>
              <w:t>1  </w:t>
            </w:r>
            <w:r w:rsidRPr="00C43A5D">
              <w:rPr>
                <w:rFonts w:cs="Arial"/>
                <w:color w:val="000000"/>
                <w:szCs w:val="24"/>
              </w:rPr>
              <w:t>Informed consent has been obtained prior to referral of an individual for genetic testing, including providing information regarding potential incidental findings</w:t>
            </w:r>
          </w:p>
        </w:tc>
        <w:tc>
          <w:tcPr>
            <w:tcW w:w="811" w:type="dxa"/>
            <w:gridSpan w:val="3"/>
            <w:shd w:val="clear" w:color="auto" w:fill="D9D9D9"/>
          </w:tcPr>
          <w:p w14:paraId="6275D7F7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14:paraId="5DEB1989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1F3F91CF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73" w:type="dxa"/>
            <w:gridSpan w:val="2"/>
          </w:tcPr>
          <w:p w14:paraId="64C98166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CA67FB" w:rsidRPr="00B67BA4" w14:paraId="4CFDD525" w14:textId="77777777" w:rsidTr="00C43A5D">
        <w:tc>
          <w:tcPr>
            <w:tcW w:w="3295" w:type="dxa"/>
          </w:tcPr>
          <w:p w14:paraId="46DE2640" w14:textId="78311BE7" w:rsidR="008123A7" w:rsidRPr="00C43A5D" w:rsidRDefault="008123A7" w:rsidP="007E0222">
            <w:pPr>
              <w:spacing w:line="276" w:lineRule="auto"/>
              <w:rPr>
                <w:rFonts w:cs="Arial"/>
                <w:color w:val="000000"/>
                <w:szCs w:val="24"/>
              </w:rPr>
            </w:pPr>
            <w:r w:rsidRPr="00C43A5D">
              <w:rPr>
                <w:rFonts w:cs="Arial"/>
                <w:b/>
                <w:bCs/>
                <w:color w:val="000000"/>
                <w:szCs w:val="24"/>
              </w:rPr>
              <w:t>2  </w:t>
            </w:r>
            <w:r w:rsidRPr="00C43A5D">
              <w:rPr>
                <w:rFonts w:cs="Arial"/>
                <w:color w:val="000000"/>
                <w:szCs w:val="24"/>
              </w:rPr>
              <w:t>Interpretive reports follow ACMG and ACGS guidelines and variants described according to the HGVS nomenclature</w:t>
            </w:r>
          </w:p>
        </w:tc>
        <w:tc>
          <w:tcPr>
            <w:tcW w:w="811" w:type="dxa"/>
            <w:gridSpan w:val="3"/>
            <w:shd w:val="clear" w:color="auto" w:fill="D9D9D9"/>
          </w:tcPr>
          <w:p w14:paraId="536E4B00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14:paraId="49403277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3EDCD58C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73" w:type="dxa"/>
            <w:gridSpan w:val="2"/>
          </w:tcPr>
          <w:p w14:paraId="38F93F4A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8123A7" w:rsidRPr="00B67BA4" w14:paraId="71B03A0C" w14:textId="77777777" w:rsidTr="00C43A5D">
        <w:tc>
          <w:tcPr>
            <w:tcW w:w="9639" w:type="dxa"/>
            <w:gridSpan w:val="9"/>
          </w:tcPr>
          <w:p w14:paraId="40E6CF6C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b/>
                <w:bCs/>
                <w:szCs w:val="24"/>
              </w:rPr>
            </w:pPr>
            <w:r w:rsidRPr="00C43A5D">
              <w:rPr>
                <w:rFonts w:cs="Arial"/>
                <w:b/>
                <w:bCs/>
                <w:color w:val="000000"/>
                <w:szCs w:val="24"/>
              </w:rPr>
              <w:t>Laboratory testing to guide management</w:t>
            </w:r>
          </w:p>
        </w:tc>
      </w:tr>
      <w:tr w:rsidR="00CA67FB" w:rsidRPr="00B67BA4" w14:paraId="5C27E94C" w14:textId="77777777" w:rsidTr="00C43A5D">
        <w:tc>
          <w:tcPr>
            <w:tcW w:w="3295" w:type="dxa"/>
          </w:tcPr>
          <w:p w14:paraId="10AFDA12" w14:textId="77777777" w:rsidR="008123A7" w:rsidRPr="00C43A5D" w:rsidRDefault="008123A7" w:rsidP="007E0222">
            <w:pPr>
              <w:spacing w:line="276" w:lineRule="auto"/>
              <w:rPr>
                <w:rFonts w:cs="Arial"/>
                <w:b/>
                <w:bCs/>
                <w:color w:val="000000"/>
                <w:szCs w:val="24"/>
              </w:rPr>
            </w:pPr>
            <w:r w:rsidRPr="00C43A5D">
              <w:rPr>
                <w:rFonts w:cs="Arial"/>
                <w:b/>
                <w:bCs/>
                <w:color w:val="000000"/>
                <w:szCs w:val="24"/>
              </w:rPr>
              <w:t>1  </w:t>
            </w:r>
            <w:r w:rsidRPr="00C43A5D">
              <w:rPr>
                <w:rFonts w:cs="Arial"/>
                <w:color w:val="000000"/>
                <w:szCs w:val="24"/>
              </w:rPr>
              <w:t xml:space="preserve">For pregnant individuals with VWD, and to assess response to DDAVP, FVIII:C (by OSCA or CSA), VWF activity (by </w:t>
            </w:r>
            <w:proofErr w:type="spellStart"/>
            <w:r w:rsidRPr="00C43A5D">
              <w:rPr>
                <w:rFonts w:cs="Arial"/>
                <w:color w:val="000000"/>
                <w:szCs w:val="24"/>
              </w:rPr>
              <w:t>VWF:RCo</w:t>
            </w:r>
            <w:proofErr w:type="spellEnd"/>
            <w:r w:rsidRPr="00C43A5D">
              <w:rPr>
                <w:rFonts w:cs="Arial"/>
                <w:color w:val="000000"/>
                <w:szCs w:val="24"/>
              </w:rPr>
              <w:t xml:space="preserve"> or </w:t>
            </w:r>
            <w:proofErr w:type="spellStart"/>
            <w:r w:rsidRPr="00C43A5D">
              <w:rPr>
                <w:rFonts w:cs="Arial"/>
                <w:color w:val="000000"/>
                <w:szCs w:val="24"/>
              </w:rPr>
              <w:t>VWF:GPIbR</w:t>
            </w:r>
            <w:proofErr w:type="spellEnd"/>
            <w:r w:rsidRPr="00C43A5D">
              <w:rPr>
                <w:rFonts w:cs="Arial"/>
                <w:color w:val="000000"/>
                <w:szCs w:val="24"/>
              </w:rPr>
              <w:t xml:space="preserve"> or </w:t>
            </w:r>
            <w:proofErr w:type="spellStart"/>
            <w:r w:rsidRPr="00C43A5D">
              <w:rPr>
                <w:rFonts w:cs="Arial"/>
                <w:color w:val="000000"/>
                <w:szCs w:val="24"/>
              </w:rPr>
              <w:t>VWF:GPIbM</w:t>
            </w:r>
            <w:proofErr w:type="spellEnd"/>
            <w:r w:rsidRPr="00C43A5D">
              <w:rPr>
                <w:rFonts w:cs="Arial"/>
                <w:color w:val="000000"/>
                <w:szCs w:val="24"/>
              </w:rPr>
              <w:t xml:space="preserve">) and </w:t>
            </w:r>
            <w:proofErr w:type="spellStart"/>
            <w:r w:rsidRPr="00C43A5D">
              <w:rPr>
                <w:rFonts w:cs="Arial"/>
                <w:color w:val="000000"/>
                <w:szCs w:val="24"/>
              </w:rPr>
              <w:t>VWF:Ag</w:t>
            </w:r>
            <w:proofErr w:type="spellEnd"/>
            <w:r w:rsidRPr="00C43A5D">
              <w:rPr>
                <w:rFonts w:cs="Arial"/>
                <w:color w:val="000000"/>
                <w:szCs w:val="24"/>
              </w:rPr>
              <w:t xml:space="preserve"> was measured </w:t>
            </w:r>
          </w:p>
        </w:tc>
        <w:tc>
          <w:tcPr>
            <w:tcW w:w="811" w:type="dxa"/>
            <w:gridSpan w:val="3"/>
            <w:shd w:val="clear" w:color="auto" w:fill="D9D9D9"/>
          </w:tcPr>
          <w:p w14:paraId="454D93D2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14:paraId="4C2CAA5E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6890B223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73" w:type="dxa"/>
            <w:gridSpan w:val="2"/>
          </w:tcPr>
          <w:p w14:paraId="120EC854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CA67FB" w:rsidRPr="00B67BA4" w14:paraId="3A57F4A4" w14:textId="77777777" w:rsidTr="00C43A5D">
        <w:tc>
          <w:tcPr>
            <w:tcW w:w="3295" w:type="dxa"/>
          </w:tcPr>
          <w:p w14:paraId="022DFDF4" w14:textId="3A60E780" w:rsidR="008123A7" w:rsidRPr="00C43A5D" w:rsidRDefault="008123A7" w:rsidP="00C43A5D">
            <w:pPr>
              <w:spacing w:line="276" w:lineRule="auto"/>
              <w:rPr>
                <w:rFonts w:cs="Arial"/>
                <w:color w:val="000000"/>
                <w:szCs w:val="24"/>
              </w:rPr>
            </w:pPr>
            <w:r w:rsidRPr="00C43A5D">
              <w:rPr>
                <w:rFonts w:cs="Arial"/>
                <w:b/>
                <w:bCs/>
                <w:color w:val="000000"/>
                <w:szCs w:val="24"/>
              </w:rPr>
              <w:t>2  </w:t>
            </w:r>
            <w:r w:rsidRPr="00C43A5D">
              <w:rPr>
                <w:rFonts w:cs="Arial"/>
                <w:color w:val="000000"/>
                <w:szCs w:val="24"/>
              </w:rPr>
              <w:t xml:space="preserve">To assess response to VWF concentrate in individuals with VWD, FVIII:C (by </w:t>
            </w:r>
            <w:proofErr w:type="spellStart"/>
            <w:r w:rsidRPr="00C43A5D">
              <w:rPr>
                <w:rFonts w:cs="Arial"/>
                <w:color w:val="000000"/>
                <w:szCs w:val="24"/>
              </w:rPr>
              <w:t>OSCAor</w:t>
            </w:r>
            <w:proofErr w:type="spellEnd"/>
            <w:r w:rsidRPr="00C43A5D">
              <w:rPr>
                <w:rFonts w:cs="Arial"/>
                <w:color w:val="000000"/>
                <w:szCs w:val="24"/>
              </w:rPr>
              <w:t xml:space="preserve"> CSA), and VWF activity (by </w:t>
            </w:r>
            <w:proofErr w:type="spellStart"/>
            <w:r w:rsidRPr="00C43A5D">
              <w:rPr>
                <w:rFonts w:cs="Arial"/>
                <w:color w:val="000000"/>
                <w:szCs w:val="24"/>
              </w:rPr>
              <w:t>VWF:RCo</w:t>
            </w:r>
            <w:proofErr w:type="spellEnd"/>
            <w:r w:rsidRPr="00C43A5D">
              <w:rPr>
                <w:rFonts w:cs="Arial"/>
                <w:color w:val="000000"/>
                <w:szCs w:val="24"/>
              </w:rPr>
              <w:t xml:space="preserve">, </w:t>
            </w:r>
            <w:proofErr w:type="spellStart"/>
            <w:r w:rsidRPr="00C43A5D">
              <w:rPr>
                <w:rFonts w:cs="Arial"/>
                <w:color w:val="000000"/>
                <w:szCs w:val="24"/>
              </w:rPr>
              <w:t>VWF:GPIbR</w:t>
            </w:r>
            <w:proofErr w:type="spellEnd"/>
            <w:r w:rsidRPr="00C43A5D">
              <w:rPr>
                <w:rFonts w:cs="Arial"/>
                <w:color w:val="000000"/>
                <w:szCs w:val="24"/>
              </w:rPr>
              <w:t xml:space="preserve"> or </w:t>
            </w:r>
            <w:proofErr w:type="spellStart"/>
            <w:r w:rsidRPr="00C43A5D">
              <w:rPr>
                <w:rFonts w:cs="Arial"/>
                <w:color w:val="000000"/>
                <w:szCs w:val="24"/>
              </w:rPr>
              <w:t>VWF:GPIbM</w:t>
            </w:r>
            <w:proofErr w:type="spellEnd"/>
            <w:r w:rsidRPr="00C43A5D">
              <w:rPr>
                <w:rFonts w:cs="Arial"/>
                <w:color w:val="000000"/>
                <w:szCs w:val="24"/>
              </w:rPr>
              <w:t>) was measured</w:t>
            </w:r>
          </w:p>
        </w:tc>
        <w:tc>
          <w:tcPr>
            <w:tcW w:w="811" w:type="dxa"/>
            <w:gridSpan w:val="3"/>
            <w:shd w:val="clear" w:color="auto" w:fill="D9D9D9"/>
          </w:tcPr>
          <w:p w14:paraId="397417FD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14:paraId="35C90E0B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7D2C9143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73" w:type="dxa"/>
            <w:gridSpan w:val="2"/>
          </w:tcPr>
          <w:p w14:paraId="31CDAC4E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  <w:tr w:rsidR="00CA67FB" w:rsidRPr="00B67BA4" w14:paraId="73DC6E5D" w14:textId="77777777" w:rsidTr="00C43A5D">
        <w:tc>
          <w:tcPr>
            <w:tcW w:w="3295" w:type="dxa"/>
          </w:tcPr>
          <w:p w14:paraId="5B511C48" w14:textId="77777777" w:rsidR="008123A7" w:rsidRPr="00C43A5D" w:rsidRDefault="008123A7" w:rsidP="007E0222">
            <w:pPr>
              <w:spacing w:line="276" w:lineRule="auto"/>
              <w:rPr>
                <w:rFonts w:cs="Arial"/>
                <w:b/>
                <w:bCs/>
                <w:color w:val="000000"/>
                <w:szCs w:val="24"/>
              </w:rPr>
            </w:pPr>
            <w:r w:rsidRPr="00C43A5D">
              <w:rPr>
                <w:rFonts w:cs="Arial"/>
                <w:b/>
                <w:bCs/>
                <w:color w:val="000000"/>
                <w:szCs w:val="24"/>
              </w:rPr>
              <w:t>3  </w:t>
            </w:r>
            <w:r w:rsidRPr="00C43A5D">
              <w:rPr>
                <w:rFonts w:cs="Arial"/>
                <w:color w:val="000000"/>
                <w:szCs w:val="24"/>
              </w:rPr>
              <w:t xml:space="preserve">To exclude a diagnosis of type 3 or severe type 2 VWD in neonates or infants, FVIII:C (by OSCA or CSA), </w:t>
            </w:r>
            <w:r w:rsidRPr="00C43A5D">
              <w:rPr>
                <w:rFonts w:cs="Arial"/>
                <w:color w:val="000000"/>
                <w:szCs w:val="24"/>
              </w:rPr>
              <w:lastRenderedPageBreak/>
              <w:t xml:space="preserve">VWF activity (by </w:t>
            </w:r>
            <w:proofErr w:type="spellStart"/>
            <w:r w:rsidRPr="00C43A5D">
              <w:rPr>
                <w:rFonts w:cs="Arial"/>
                <w:color w:val="000000"/>
                <w:szCs w:val="24"/>
              </w:rPr>
              <w:t>VWF:RCo</w:t>
            </w:r>
            <w:proofErr w:type="spellEnd"/>
            <w:r w:rsidRPr="00C43A5D">
              <w:rPr>
                <w:rFonts w:cs="Arial"/>
                <w:color w:val="000000"/>
                <w:szCs w:val="24"/>
              </w:rPr>
              <w:t xml:space="preserve"> or </w:t>
            </w:r>
            <w:proofErr w:type="spellStart"/>
            <w:r w:rsidRPr="00C43A5D">
              <w:rPr>
                <w:rFonts w:cs="Arial"/>
                <w:color w:val="000000"/>
                <w:szCs w:val="24"/>
              </w:rPr>
              <w:t>VWF:GPIbR</w:t>
            </w:r>
            <w:proofErr w:type="spellEnd"/>
            <w:r w:rsidRPr="00C43A5D">
              <w:rPr>
                <w:rFonts w:cs="Arial"/>
                <w:color w:val="000000"/>
                <w:szCs w:val="24"/>
              </w:rPr>
              <w:t xml:space="preserve"> or </w:t>
            </w:r>
            <w:proofErr w:type="spellStart"/>
            <w:r w:rsidRPr="00C43A5D">
              <w:rPr>
                <w:rFonts w:cs="Arial"/>
                <w:color w:val="000000"/>
                <w:szCs w:val="24"/>
              </w:rPr>
              <w:t>VWF:GPIbM</w:t>
            </w:r>
            <w:proofErr w:type="spellEnd"/>
            <w:r w:rsidRPr="00C43A5D">
              <w:rPr>
                <w:rFonts w:cs="Arial"/>
                <w:color w:val="000000"/>
                <w:szCs w:val="24"/>
              </w:rPr>
              <w:t xml:space="preserve">) and </w:t>
            </w:r>
            <w:proofErr w:type="spellStart"/>
            <w:r w:rsidRPr="00C43A5D">
              <w:rPr>
                <w:rFonts w:cs="Arial"/>
                <w:color w:val="000000"/>
                <w:szCs w:val="24"/>
              </w:rPr>
              <w:t>VWF:Ag</w:t>
            </w:r>
            <w:proofErr w:type="spellEnd"/>
            <w:r w:rsidRPr="00C43A5D">
              <w:rPr>
                <w:rFonts w:cs="Arial"/>
                <w:color w:val="000000"/>
                <w:szCs w:val="24"/>
              </w:rPr>
              <w:t xml:space="preserve"> was measured</w:t>
            </w:r>
          </w:p>
        </w:tc>
        <w:tc>
          <w:tcPr>
            <w:tcW w:w="811" w:type="dxa"/>
            <w:gridSpan w:val="3"/>
            <w:shd w:val="clear" w:color="auto" w:fill="D9D9D9"/>
          </w:tcPr>
          <w:p w14:paraId="51B6D4CA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14:paraId="6E0E3307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31C89818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73" w:type="dxa"/>
            <w:gridSpan w:val="2"/>
          </w:tcPr>
          <w:p w14:paraId="777F90A1" w14:textId="77777777" w:rsidR="008123A7" w:rsidRPr="00C43A5D" w:rsidRDefault="008123A7" w:rsidP="007E0222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088CFB5D" w14:textId="77777777" w:rsidR="004C6370" w:rsidRPr="00077B16" w:rsidRDefault="004C6370">
      <w:pPr>
        <w:rPr>
          <w:rFonts w:cs="Arial"/>
        </w:rPr>
      </w:pPr>
    </w:p>
    <w:p w14:paraId="170A56D3" w14:textId="77777777" w:rsidR="0085781D" w:rsidRDefault="0085781D" w:rsidP="0085781D">
      <w:pPr>
        <w:keepNext/>
        <w:rPr>
          <w:rFonts w:cs="Arial"/>
          <w:b/>
        </w:rPr>
      </w:pPr>
      <w:r>
        <w:rPr>
          <w:rFonts w:cs="Arial"/>
          <w:b/>
        </w:rPr>
        <w:t>List of investigations</w:t>
      </w:r>
    </w:p>
    <w:p w14:paraId="02B1A2CA" w14:textId="77777777" w:rsidR="0085781D" w:rsidRDefault="0085781D" w:rsidP="0085781D">
      <w:pPr>
        <w:keepNext/>
        <w:rPr>
          <w:rFonts w:cs="Arial"/>
        </w:rPr>
      </w:pPr>
      <w:r w:rsidRPr="00F333F7">
        <w:rPr>
          <w:rFonts w:cs="Arial"/>
          <w:color w:val="FF0000"/>
        </w:rPr>
        <w:t>(To be completed by the author)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2"/>
        <w:gridCol w:w="2047"/>
        <w:gridCol w:w="1949"/>
      </w:tblGrid>
      <w:tr w:rsidR="0085781D" w14:paraId="66CF13C2" w14:textId="77777777" w:rsidTr="00211CED">
        <w:tc>
          <w:tcPr>
            <w:tcW w:w="5637" w:type="dxa"/>
          </w:tcPr>
          <w:p w14:paraId="73BED375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7AC3128F" w14:textId="77777777" w:rsidR="0085781D" w:rsidRDefault="0085781D" w:rsidP="00211CED">
            <w:pPr>
              <w:keepNext/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1950" w:type="dxa"/>
          </w:tcPr>
          <w:p w14:paraId="28ABEDD0" w14:textId="77777777" w:rsidR="0085781D" w:rsidRDefault="0085781D" w:rsidP="00211CED">
            <w:pPr>
              <w:keepNext/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85781D" w14:paraId="5FD01B8A" w14:textId="77777777" w:rsidTr="00211CED">
        <w:tc>
          <w:tcPr>
            <w:tcW w:w="5637" w:type="dxa"/>
          </w:tcPr>
          <w:p w14:paraId="3135F975" w14:textId="77777777" w:rsidR="0085781D" w:rsidRPr="00E30831" w:rsidRDefault="0085781D" w:rsidP="00211CE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7EAFBA44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3689CED2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</w:tr>
      <w:tr w:rsidR="0085781D" w14:paraId="6C7D02A5" w14:textId="77777777" w:rsidTr="00211CED">
        <w:tc>
          <w:tcPr>
            <w:tcW w:w="5637" w:type="dxa"/>
            <w:tcBorders>
              <w:bottom w:val="single" w:sz="4" w:space="0" w:color="auto"/>
            </w:tcBorders>
          </w:tcPr>
          <w:p w14:paraId="4DBD6163" w14:textId="77777777" w:rsidR="0085781D" w:rsidRPr="00E30831" w:rsidRDefault="0085781D" w:rsidP="00211CE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754DEE26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49B62A2E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</w:tr>
      <w:tr w:rsidR="0085781D" w14:paraId="23DEDEED" w14:textId="77777777" w:rsidTr="00211CED">
        <w:tc>
          <w:tcPr>
            <w:tcW w:w="5637" w:type="dxa"/>
          </w:tcPr>
          <w:p w14:paraId="12DB6F47" w14:textId="77777777" w:rsidR="0085781D" w:rsidRDefault="0085781D" w:rsidP="00211CED">
            <w:pPr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0748A9AC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09A1EBC7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</w:tr>
    </w:tbl>
    <w:p w14:paraId="381AF554" w14:textId="77777777" w:rsidR="0085781D" w:rsidRDefault="0085781D" w:rsidP="0085781D">
      <w:pPr>
        <w:rPr>
          <w:rFonts w:cs="Arial"/>
          <w:bCs/>
        </w:rPr>
      </w:pPr>
    </w:p>
    <w:p w14:paraId="2393E24C" w14:textId="0646C9FA" w:rsidR="0085781D" w:rsidRDefault="0085781D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1F037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3758BA60" w14:textId="21287252" w:rsidR="0085781D" w:rsidRPr="00C43A5D" w:rsidRDefault="008123A7" w:rsidP="008123A7">
            <w:pPr>
              <w:rPr>
                <w:rFonts w:cs="Arial"/>
                <w:bCs/>
              </w:rPr>
            </w:pPr>
            <w:r w:rsidRPr="005A1058">
              <w:rPr>
                <w:rFonts w:cs="Arial"/>
                <w:bCs/>
              </w:rPr>
              <w:t>An audit of compliance with the BSH guideline</w:t>
            </w:r>
            <w:r>
              <w:rPr>
                <w:rFonts w:cs="Arial"/>
                <w:bCs/>
              </w:rPr>
              <w:t xml:space="preserve"> for</w:t>
            </w:r>
            <w:r w:rsidRPr="005A1058">
              <w:rPr>
                <w:rFonts w:cs="Arial"/>
                <w:bCs/>
              </w:rPr>
              <w:t xml:space="preserve"> the</w:t>
            </w:r>
            <w:r>
              <w:rPr>
                <w:rFonts w:cs="Arial"/>
                <w:bCs/>
              </w:rPr>
              <w:t xml:space="preserve"> laboratory</w:t>
            </w:r>
            <w:r w:rsidRPr="005A1058">
              <w:rPr>
                <w:rFonts w:cs="Arial"/>
                <w:bCs/>
              </w:rPr>
              <w:t xml:space="preserve"> diagnosis and monitoring of von Willebrand disease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3C36" w14:textId="77777777" w:rsidR="00930859" w:rsidRDefault="00930859">
      <w:r>
        <w:separator/>
      </w:r>
    </w:p>
  </w:endnote>
  <w:endnote w:type="continuationSeparator" w:id="0">
    <w:p w14:paraId="0AA8FBF0" w14:textId="77777777" w:rsidR="00930859" w:rsidRDefault="009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abon">
    <w:altName w:val="Calibri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A753" w14:textId="799D06F1" w:rsidR="00590DC3" w:rsidRPr="00D366F9" w:rsidRDefault="00DD172C" w:rsidP="00927185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9776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PGD</w:t>
    </w:r>
    <w:r w:rsidR="00473B28">
      <w:rPr>
        <w:rFonts w:cs="Arial"/>
        <w:sz w:val="20"/>
        <w:szCs w:val="20"/>
      </w:rPr>
      <w:tab/>
    </w:r>
    <w:r w:rsidR="00E33449">
      <w:rPr>
        <w:rFonts w:cs="Arial"/>
        <w:sz w:val="20"/>
        <w:szCs w:val="20"/>
      </w:rPr>
      <w:t>060124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3569" w14:textId="18204277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4896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4656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PGD</w:t>
    </w:r>
    <w:r w:rsidR="00C5391D">
      <w:rPr>
        <w:rFonts w:cs="Arial"/>
        <w:sz w:val="20"/>
        <w:szCs w:val="20"/>
      </w:rPr>
      <w:tab/>
    </w:r>
    <w:r w:rsidR="005A6838">
      <w:rPr>
        <w:rFonts w:cs="Arial"/>
        <w:sz w:val="20"/>
        <w:szCs w:val="20"/>
      </w:rPr>
      <w:t>060124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8624" w14:textId="77777777" w:rsidR="00930859" w:rsidRDefault="00930859">
      <w:r>
        <w:separator/>
      </w:r>
    </w:p>
  </w:footnote>
  <w:footnote w:type="continuationSeparator" w:id="0">
    <w:p w14:paraId="31C8A52D" w14:textId="77777777" w:rsidR="00930859" w:rsidRDefault="009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30FE" w14:textId="47BDD896" w:rsidR="00590DC3" w:rsidRPr="00927185" w:rsidRDefault="0085781D" w:rsidP="0085781D">
    <w:pPr>
      <w:pStyle w:val="Header"/>
      <w:tabs>
        <w:tab w:val="clear" w:pos="8306"/>
        <w:tab w:val="right" w:pos="9639"/>
      </w:tabs>
      <w:spacing w:before="0" w:after="0" w:line="240" w:lineRule="auto"/>
      <w:rPr>
        <w:rFonts w:cs="Arial"/>
        <w:noProof/>
        <w:sz w:val="28"/>
        <w:szCs w:val="28"/>
        <w:lang w:eastAsia="en-GB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49926" wp14:editId="628C3E68">
          <wp:simplePos x="0" y="0"/>
          <wp:positionH relativeFrom="margin">
            <wp:align>right</wp:align>
          </wp:positionH>
          <wp:positionV relativeFrom="paragraph">
            <wp:posOffset>154305</wp:posOffset>
          </wp:positionV>
          <wp:extent cx="2258060" cy="662940"/>
          <wp:effectExtent l="0" t="0" r="8890" b="3810"/>
          <wp:wrapThrough wrapText="bothSides">
            <wp:wrapPolygon edited="0">
              <wp:start x="16765" y="0"/>
              <wp:lineTo x="0" y="3103"/>
              <wp:lineTo x="0" y="21103"/>
              <wp:lineTo x="19316" y="21103"/>
              <wp:lineTo x="21503" y="14276"/>
              <wp:lineTo x="21503" y="6828"/>
              <wp:lineTo x="19316" y="0"/>
              <wp:lineTo x="16765" y="0"/>
            </wp:wrapPolygon>
          </wp:wrapThrough>
          <wp:docPr id="2026805908" name="Picture 42" descr="BSH-Logo-Straplin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BSH-Logo-Straplin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172C"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  <w:sz w:val="28"/>
        <w:szCs w:val="28"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115BF"/>
    <w:multiLevelType w:val="hybridMultilevel"/>
    <w:tmpl w:val="C53626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920AC"/>
    <w:multiLevelType w:val="hybridMultilevel"/>
    <w:tmpl w:val="1CCC0318"/>
    <w:lvl w:ilvl="0" w:tplc="23BA15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6330"/>
    <w:multiLevelType w:val="hybridMultilevel"/>
    <w:tmpl w:val="8CC2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3006B"/>
    <w:multiLevelType w:val="hybridMultilevel"/>
    <w:tmpl w:val="F51E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C7688"/>
    <w:multiLevelType w:val="hybridMultilevel"/>
    <w:tmpl w:val="6A98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2222"/>
    <w:multiLevelType w:val="hybridMultilevel"/>
    <w:tmpl w:val="12082A2C"/>
    <w:lvl w:ilvl="0" w:tplc="04090001">
      <w:start w:val="1"/>
      <w:numFmt w:val="bullet"/>
      <w:lvlText w:val=""/>
      <w:lvlJc w:val="left"/>
      <w:pPr>
        <w:ind w:left="34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63" w:hanging="360"/>
      </w:pPr>
    </w:lvl>
    <w:lvl w:ilvl="2" w:tplc="FFFFFFFF" w:tentative="1">
      <w:start w:val="1"/>
      <w:numFmt w:val="lowerRoman"/>
      <w:lvlText w:val="%3."/>
      <w:lvlJc w:val="right"/>
      <w:pPr>
        <w:ind w:left="1783" w:hanging="180"/>
      </w:pPr>
    </w:lvl>
    <w:lvl w:ilvl="3" w:tplc="FFFFFFFF" w:tentative="1">
      <w:start w:val="1"/>
      <w:numFmt w:val="decimal"/>
      <w:lvlText w:val="%4."/>
      <w:lvlJc w:val="left"/>
      <w:pPr>
        <w:ind w:left="2503" w:hanging="360"/>
      </w:pPr>
    </w:lvl>
    <w:lvl w:ilvl="4" w:tplc="FFFFFFFF" w:tentative="1">
      <w:start w:val="1"/>
      <w:numFmt w:val="lowerLetter"/>
      <w:lvlText w:val="%5."/>
      <w:lvlJc w:val="left"/>
      <w:pPr>
        <w:ind w:left="3223" w:hanging="360"/>
      </w:pPr>
    </w:lvl>
    <w:lvl w:ilvl="5" w:tplc="FFFFFFFF" w:tentative="1">
      <w:start w:val="1"/>
      <w:numFmt w:val="lowerRoman"/>
      <w:lvlText w:val="%6."/>
      <w:lvlJc w:val="right"/>
      <w:pPr>
        <w:ind w:left="3943" w:hanging="180"/>
      </w:pPr>
    </w:lvl>
    <w:lvl w:ilvl="6" w:tplc="FFFFFFFF" w:tentative="1">
      <w:start w:val="1"/>
      <w:numFmt w:val="decimal"/>
      <w:lvlText w:val="%7."/>
      <w:lvlJc w:val="left"/>
      <w:pPr>
        <w:ind w:left="4663" w:hanging="360"/>
      </w:pPr>
    </w:lvl>
    <w:lvl w:ilvl="7" w:tplc="FFFFFFFF" w:tentative="1">
      <w:start w:val="1"/>
      <w:numFmt w:val="lowerLetter"/>
      <w:lvlText w:val="%8."/>
      <w:lvlJc w:val="left"/>
      <w:pPr>
        <w:ind w:left="5383" w:hanging="360"/>
      </w:pPr>
    </w:lvl>
    <w:lvl w:ilvl="8" w:tplc="FFFFFFFF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8" w15:restartNumberingAfterBreak="0">
    <w:nsid w:val="33A91D70"/>
    <w:multiLevelType w:val="hybridMultilevel"/>
    <w:tmpl w:val="54F8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82FF6"/>
    <w:multiLevelType w:val="hybridMultilevel"/>
    <w:tmpl w:val="DC32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F35BB"/>
    <w:multiLevelType w:val="hybridMultilevel"/>
    <w:tmpl w:val="78EC6D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F6202C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173771"/>
    <w:multiLevelType w:val="hybridMultilevel"/>
    <w:tmpl w:val="3522B120"/>
    <w:lvl w:ilvl="0" w:tplc="8A36BB4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A0BA2"/>
    <w:multiLevelType w:val="hybridMultilevel"/>
    <w:tmpl w:val="008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41C51"/>
    <w:multiLevelType w:val="hybridMultilevel"/>
    <w:tmpl w:val="18749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233696"/>
    <w:multiLevelType w:val="hybridMultilevel"/>
    <w:tmpl w:val="4058D0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770DC1"/>
    <w:multiLevelType w:val="hybridMultilevel"/>
    <w:tmpl w:val="1F2EAEB0"/>
    <w:lvl w:ilvl="0" w:tplc="04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23" w:hanging="360"/>
      </w:pPr>
    </w:lvl>
    <w:lvl w:ilvl="2" w:tplc="FFFFFFFF" w:tentative="1">
      <w:start w:val="1"/>
      <w:numFmt w:val="lowerRoman"/>
      <w:lvlText w:val="%3."/>
      <w:lvlJc w:val="right"/>
      <w:pPr>
        <w:ind w:left="2143" w:hanging="180"/>
      </w:pPr>
    </w:lvl>
    <w:lvl w:ilvl="3" w:tplc="FFFFFFFF" w:tentative="1">
      <w:start w:val="1"/>
      <w:numFmt w:val="decimal"/>
      <w:lvlText w:val="%4."/>
      <w:lvlJc w:val="left"/>
      <w:pPr>
        <w:ind w:left="2863" w:hanging="360"/>
      </w:pPr>
    </w:lvl>
    <w:lvl w:ilvl="4" w:tplc="FFFFFFFF" w:tentative="1">
      <w:start w:val="1"/>
      <w:numFmt w:val="lowerLetter"/>
      <w:lvlText w:val="%5."/>
      <w:lvlJc w:val="left"/>
      <w:pPr>
        <w:ind w:left="3583" w:hanging="360"/>
      </w:p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6" w15:restartNumberingAfterBreak="0">
    <w:nsid w:val="6A2139AD"/>
    <w:multiLevelType w:val="hybridMultilevel"/>
    <w:tmpl w:val="AC1C4D26"/>
    <w:lvl w:ilvl="0" w:tplc="4C26D1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86E5F"/>
    <w:multiLevelType w:val="hybridMultilevel"/>
    <w:tmpl w:val="FB40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0590B"/>
    <w:multiLevelType w:val="hybridMultilevel"/>
    <w:tmpl w:val="65586A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5E1D62"/>
    <w:multiLevelType w:val="hybridMultilevel"/>
    <w:tmpl w:val="07D6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7605F"/>
    <w:multiLevelType w:val="hybridMultilevel"/>
    <w:tmpl w:val="149CFC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778267">
    <w:abstractNumId w:val="3"/>
  </w:num>
  <w:num w:numId="2" w16cid:durableId="797454649">
    <w:abstractNumId w:val="0"/>
  </w:num>
  <w:num w:numId="3" w16cid:durableId="1141312955">
    <w:abstractNumId w:val="16"/>
  </w:num>
  <w:num w:numId="4" w16cid:durableId="1123696890">
    <w:abstractNumId w:val="5"/>
  </w:num>
  <w:num w:numId="5" w16cid:durableId="1001930679">
    <w:abstractNumId w:val="7"/>
  </w:num>
  <w:num w:numId="6" w16cid:durableId="1221163399">
    <w:abstractNumId w:val="15"/>
  </w:num>
  <w:num w:numId="7" w16cid:durableId="801389551">
    <w:abstractNumId w:val="9"/>
  </w:num>
  <w:num w:numId="8" w16cid:durableId="26683699">
    <w:abstractNumId w:val="4"/>
  </w:num>
  <w:num w:numId="9" w16cid:durableId="327750527">
    <w:abstractNumId w:val="8"/>
  </w:num>
  <w:num w:numId="10" w16cid:durableId="554240111">
    <w:abstractNumId w:val="6"/>
  </w:num>
  <w:num w:numId="11" w16cid:durableId="2084601848">
    <w:abstractNumId w:val="11"/>
  </w:num>
  <w:num w:numId="12" w16cid:durableId="718867892">
    <w:abstractNumId w:val="2"/>
  </w:num>
  <w:num w:numId="13" w16cid:durableId="1086725500">
    <w:abstractNumId w:val="20"/>
  </w:num>
  <w:num w:numId="14" w16cid:durableId="607199345">
    <w:abstractNumId w:val="18"/>
  </w:num>
  <w:num w:numId="15" w16cid:durableId="1612736601">
    <w:abstractNumId w:val="1"/>
  </w:num>
  <w:num w:numId="16" w16cid:durableId="321665662">
    <w:abstractNumId w:val="14"/>
  </w:num>
  <w:num w:numId="17" w16cid:durableId="1690990039">
    <w:abstractNumId w:val="10"/>
  </w:num>
  <w:num w:numId="18" w16cid:durableId="1678146928">
    <w:abstractNumId w:val="19"/>
  </w:num>
  <w:num w:numId="19" w16cid:durableId="1960449470">
    <w:abstractNumId w:val="12"/>
  </w:num>
  <w:num w:numId="20" w16cid:durableId="272632942">
    <w:abstractNumId w:val="13"/>
  </w:num>
  <w:num w:numId="21" w16cid:durableId="1577932367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34639"/>
    <w:rsid w:val="000369E8"/>
    <w:rsid w:val="00045804"/>
    <w:rsid w:val="00074049"/>
    <w:rsid w:val="00077B16"/>
    <w:rsid w:val="000A1FFE"/>
    <w:rsid w:val="000A3D6F"/>
    <w:rsid w:val="000B1E92"/>
    <w:rsid w:val="000C48A8"/>
    <w:rsid w:val="000C70E3"/>
    <w:rsid w:val="000D7C6A"/>
    <w:rsid w:val="000E2004"/>
    <w:rsid w:val="000E42F5"/>
    <w:rsid w:val="000F03EB"/>
    <w:rsid w:val="000F4D77"/>
    <w:rsid w:val="0014563E"/>
    <w:rsid w:val="001475F0"/>
    <w:rsid w:val="00153C83"/>
    <w:rsid w:val="001657DC"/>
    <w:rsid w:val="00167FA9"/>
    <w:rsid w:val="00176346"/>
    <w:rsid w:val="00194E27"/>
    <w:rsid w:val="001F037A"/>
    <w:rsid w:val="002020DA"/>
    <w:rsid w:val="0020390E"/>
    <w:rsid w:val="002045D7"/>
    <w:rsid w:val="002119F3"/>
    <w:rsid w:val="00214938"/>
    <w:rsid w:val="00230059"/>
    <w:rsid w:val="00234879"/>
    <w:rsid w:val="00253E1A"/>
    <w:rsid w:val="0025747C"/>
    <w:rsid w:val="002806C7"/>
    <w:rsid w:val="002810CB"/>
    <w:rsid w:val="002851D7"/>
    <w:rsid w:val="0029610F"/>
    <w:rsid w:val="002A0090"/>
    <w:rsid w:val="002A293B"/>
    <w:rsid w:val="002C046B"/>
    <w:rsid w:val="002F5E08"/>
    <w:rsid w:val="00327320"/>
    <w:rsid w:val="00333833"/>
    <w:rsid w:val="00363010"/>
    <w:rsid w:val="00373A0F"/>
    <w:rsid w:val="0037430B"/>
    <w:rsid w:val="00383EC0"/>
    <w:rsid w:val="00390ACD"/>
    <w:rsid w:val="00395582"/>
    <w:rsid w:val="003A33FE"/>
    <w:rsid w:val="003B186F"/>
    <w:rsid w:val="003B4471"/>
    <w:rsid w:val="003D3B96"/>
    <w:rsid w:val="003E4192"/>
    <w:rsid w:val="00402330"/>
    <w:rsid w:val="004039FC"/>
    <w:rsid w:val="00406950"/>
    <w:rsid w:val="00410CC2"/>
    <w:rsid w:val="004118BE"/>
    <w:rsid w:val="00436FD4"/>
    <w:rsid w:val="0045287D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6629"/>
    <w:rsid w:val="0051663B"/>
    <w:rsid w:val="00545347"/>
    <w:rsid w:val="00554FCF"/>
    <w:rsid w:val="00561723"/>
    <w:rsid w:val="00590DC3"/>
    <w:rsid w:val="005A2C0F"/>
    <w:rsid w:val="005A2D91"/>
    <w:rsid w:val="005A6838"/>
    <w:rsid w:val="005C7333"/>
    <w:rsid w:val="005D3173"/>
    <w:rsid w:val="005E1060"/>
    <w:rsid w:val="005E3C1B"/>
    <w:rsid w:val="005F0C38"/>
    <w:rsid w:val="00603ECE"/>
    <w:rsid w:val="00606B9C"/>
    <w:rsid w:val="006147E1"/>
    <w:rsid w:val="00624056"/>
    <w:rsid w:val="006319A1"/>
    <w:rsid w:val="00632EB6"/>
    <w:rsid w:val="006456DE"/>
    <w:rsid w:val="0068302D"/>
    <w:rsid w:val="00690DA4"/>
    <w:rsid w:val="00690DDF"/>
    <w:rsid w:val="0069652F"/>
    <w:rsid w:val="006B091F"/>
    <w:rsid w:val="006B136F"/>
    <w:rsid w:val="006B32B1"/>
    <w:rsid w:val="006D4E64"/>
    <w:rsid w:val="006E2AD5"/>
    <w:rsid w:val="006F44A6"/>
    <w:rsid w:val="007114AC"/>
    <w:rsid w:val="0071269F"/>
    <w:rsid w:val="00745A21"/>
    <w:rsid w:val="00753ECC"/>
    <w:rsid w:val="007631F7"/>
    <w:rsid w:val="007637F5"/>
    <w:rsid w:val="00765F35"/>
    <w:rsid w:val="00767BCF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BF2"/>
    <w:rsid w:val="007E5248"/>
    <w:rsid w:val="007F21DF"/>
    <w:rsid w:val="008015D7"/>
    <w:rsid w:val="008123A7"/>
    <w:rsid w:val="00813B20"/>
    <w:rsid w:val="008317B0"/>
    <w:rsid w:val="00835EBE"/>
    <w:rsid w:val="00855773"/>
    <w:rsid w:val="0085781D"/>
    <w:rsid w:val="00860AF9"/>
    <w:rsid w:val="008628C3"/>
    <w:rsid w:val="00874EB1"/>
    <w:rsid w:val="00875EC4"/>
    <w:rsid w:val="00876760"/>
    <w:rsid w:val="00884B47"/>
    <w:rsid w:val="0089524E"/>
    <w:rsid w:val="008A6D3E"/>
    <w:rsid w:val="008C571E"/>
    <w:rsid w:val="008D69A3"/>
    <w:rsid w:val="008E542F"/>
    <w:rsid w:val="008E5933"/>
    <w:rsid w:val="00903337"/>
    <w:rsid w:val="0091017D"/>
    <w:rsid w:val="00927185"/>
    <w:rsid w:val="00930859"/>
    <w:rsid w:val="009309D4"/>
    <w:rsid w:val="009309DD"/>
    <w:rsid w:val="009349D7"/>
    <w:rsid w:val="00940136"/>
    <w:rsid w:val="00952DFE"/>
    <w:rsid w:val="00962491"/>
    <w:rsid w:val="009929C5"/>
    <w:rsid w:val="009A7F6F"/>
    <w:rsid w:val="009C1F74"/>
    <w:rsid w:val="009C38CD"/>
    <w:rsid w:val="009C4066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35011"/>
    <w:rsid w:val="00A4630E"/>
    <w:rsid w:val="00A6672C"/>
    <w:rsid w:val="00A91137"/>
    <w:rsid w:val="00A9492C"/>
    <w:rsid w:val="00AB2EA4"/>
    <w:rsid w:val="00AB52AE"/>
    <w:rsid w:val="00AC3558"/>
    <w:rsid w:val="00AD28E3"/>
    <w:rsid w:val="00AE34E0"/>
    <w:rsid w:val="00B10E5A"/>
    <w:rsid w:val="00B1219C"/>
    <w:rsid w:val="00B24EE4"/>
    <w:rsid w:val="00B420AD"/>
    <w:rsid w:val="00B45883"/>
    <w:rsid w:val="00B764BA"/>
    <w:rsid w:val="00B93EB4"/>
    <w:rsid w:val="00BA189A"/>
    <w:rsid w:val="00BB175C"/>
    <w:rsid w:val="00BC07AD"/>
    <w:rsid w:val="00BC3490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33B58"/>
    <w:rsid w:val="00C43A5D"/>
    <w:rsid w:val="00C5391D"/>
    <w:rsid w:val="00C55A88"/>
    <w:rsid w:val="00C863A4"/>
    <w:rsid w:val="00C87E39"/>
    <w:rsid w:val="00CA3D4B"/>
    <w:rsid w:val="00CA67FB"/>
    <w:rsid w:val="00CB28BE"/>
    <w:rsid w:val="00CB3A48"/>
    <w:rsid w:val="00CC60DB"/>
    <w:rsid w:val="00D2267A"/>
    <w:rsid w:val="00D25ED8"/>
    <w:rsid w:val="00D366F9"/>
    <w:rsid w:val="00D445BA"/>
    <w:rsid w:val="00D46868"/>
    <w:rsid w:val="00D6143F"/>
    <w:rsid w:val="00D718AF"/>
    <w:rsid w:val="00D81762"/>
    <w:rsid w:val="00D8550C"/>
    <w:rsid w:val="00D97233"/>
    <w:rsid w:val="00DB6A72"/>
    <w:rsid w:val="00DC14AC"/>
    <w:rsid w:val="00DC30A2"/>
    <w:rsid w:val="00DD172C"/>
    <w:rsid w:val="00DE77B0"/>
    <w:rsid w:val="00DF0CEB"/>
    <w:rsid w:val="00DF4D00"/>
    <w:rsid w:val="00E030A1"/>
    <w:rsid w:val="00E13CF5"/>
    <w:rsid w:val="00E21070"/>
    <w:rsid w:val="00E33449"/>
    <w:rsid w:val="00E3625C"/>
    <w:rsid w:val="00E53AD8"/>
    <w:rsid w:val="00E56306"/>
    <w:rsid w:val="00E57653"/>
    <w:rsid w:val="00E7343E"/>
    <w:rsid w:val="00E943DB"/>
    <w:rsid w:val="00EA77C0"/>
    <w:rsid w:val="00EB13C8"/>
    <w:rsid w:val="00EB334F"/>
    <w:rsid w:val="00EB5E7F"/>
    <w:rsid w:val="00EC181A"/>
    <w:rsid w:val="00EC78D4"/>
    <w:rsid w:val="00ED4617"/>
    <w:rsid w:val="00ED4C71"/>
    <w:rsid w:val="00ED7D35"/>
    <w:rsid w:val="00EE42BE"/>
    <w:rsid w:val="00EF4B07"/>
    <w:rsid w:val="00EF6FB6"/>
    <w:rsid w:val="00F10036"/>
    <w:rsid w:val="00F138DB"/>
    <w:rsid w:val="00F15FCC"/>
    <w:rsid w:val="00F37C31"/>
    <w:rsid w:val="00F403E4"/>
    <w:rsid w:val="00F43B1C"/>
    <w:rsid w:val="00F510FB"/>
    <w:rsid w:val="00F5545F"/>
    <w:rsid w:val="00F8696D"/>
    <w:rsid w:val="00F910E7"/>
    <w:rsid w:val="00FA63DC"/>
    <w:rsid w:val="00FA6967"/>
    <w:rsid w:val="00FC105F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qFormat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1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unhideWhenUsed/>
    <w:rsid w:val="00876760"/>
    <w:pPr>
      <w:numPr>
        <w:numId w:val="2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85781D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RowheadingChar"/>
    <w:link w:val="EndNoteBibliographyTitle"/>
    <w:rsid w:val="0085781D"/>
    <w:rPr>
      <w:rFonts w:ascii="Arial" w:eastAsia="Calibri" w:hAnsi="Arial" w:cs="Arial"/>
      <w:b w:val="0"/>
      <w:noProof/>
      <w:sz w:val="24"/>
      <w:szCs w:val="22"/>
      <w:lang w:val="en-US" w:eastAsia="en-US"/>
    </w:rPr>
  </w:style>
  <w:style w:type="paragraph" w:customStyle="1" w:styleId="Standard">
    <w:name w:val="Standard"/>
    <w:basedOn w:val="Normal"/>
    <w:link w:val="StandardChar"/>
    <w:qFormat/>
    <w:rsid w:val="000F03EB"/>
    <w:pPr>
      <w:autoSpaceDE w:val="0"/>
      <w:autoSpaceDN w:val="0"/>
      <w:adjustRightInd w:val="0"/>
      <w:spacing w:after="120" w:line="276" w:lineRule="auto"/>
    </w:pPr>
    <w:rPr>
      <w:rFonts w:eastAsia="Times New Roman" w:cs="Arial"/>
      <w:lang w:eastAsia="en-GB"/>
    </w:rPr>
  </w:style>
  <w:style w:type="character" w:customStyle="1" w:styleId="StandardChar">
    <w:name w:val="Standard Char"/>
    <w:link w:val="Standard"/>
    <w:rsid w:val="000F03EB"/>
    <w:rPr>
      <w:rFonts w:ascii="Arial" w:hAnsi="Arial" w:cs="Arial"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2C046B"/>
    <w:rPr>
      <w:rFonts w:ascii="Arial" w:eastAsia="Calibri" w:hAnsi="Arial" w:cs="Arial"/>
      <w:b/>
      <w:bC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2" ma:contentTypeDescription="Create a new document." ma:contentTypeScope="" ma:versionID="f20d801adf5f96ba6bd600f25e00b029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f77985608a30f73e981601e517e7dbea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9F464-91B5-4640-8604-589C3727768D}">
  <ds:schemaRefs>
    <ds:schemaRef ds:uri="http://purl.org/dc/elements/1.1/"/>
    <ds:schemaRef ds:uri="fcbb744a-7f82-41b7-a756-bec761ac2a3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3C1655F-C16A-40A5-8656-B0D72D453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6</TotalTime>
  <Pages>12</Pages>
  <Words>1588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audit of compliance with the BSH guideline for the diagnosis and monitoring of VWD</dc:title>
  <dc:subject/>
  <dc:creator>mmarrerofeo</dc:creator>
  <cp:keywords/>
  <cp:lastModifiedBy>Jack Reader</cp:lastModifiedBy>
  <cp:revision>4</cp:revision>
  <cp:lastPrinted>2011-10-27T15:55:00Z</cp:lastPrinted>
  <dcterms:created xsi:type="dcterms:W3CDTF">2025-01-06T16:11:00Z</dcterms:created>
  <dcterms:modified xsi:type="dcterms:W3CDTF">2025-01-06T16:15:00Z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