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284BB" w14:textId="77777777" w:rsidR="00DF6DFE" w:rsidRDefault="004350CB" w:rsidP="00997D30">
      <w:pPr>
        <w:ind w:left="1985" w:hanging="1985"/>
        <w:rPr>
          <w:rFonts w:ascii="Arial" w:eastAsia="Calibri" w:hAnsi="Arial" w:cs="Arial"/>
          <w:sz w:val="22"/>
          <w:szCs w:val="22"/>
        </w:rPr>
      </w:pPr>
      <w:r w:rsidRPr="00DF6DFE">
        <w:rPr>
          <w:rFonts w:ascii="Arial" w:hAnsi="Arial" w:cs="Arial"/>
          <w:b/>
        </w:rPr>
        <w:t>A</w:t>
      </w:r>
      <w:r w:rsidRPr="00997D30">
        <w:rPr>
          <w:rFonts w:ascii="Arial" w:hAnsi="Arial" w:cs="Arial"/>
          <w:b/>
        </w:rPr>
        <w:t>ppendix B</w:t>
      </w:r>
      <w:r w:rsidRPr="00997D30">
        <w:rPr>
          <w:rFonts w:ascii="Arial" w:hAnsi="Arial" w:cs="Arial"/>
          <w:b/>
        </w:rPr>
        <w:tab/>
      </w:r>
      <w:r w:rsidR="00DF6DFE" w:rsidRPr="00997D30">
        <w:rPr>
          <w:rFonts w:ascii="Arial" w:hAnsi="Arial" w:cs="Arial"/>
          <w:b/>
        </w:rPr>
        <w:t>TNM classification of</w:t>
      </w:r>
      <w:r w:rsidRPr="00997D30">
        <w:rPr>
          <w:rFonts w:ascii="Arial" w:hAnsi="Arial" w:cs="Arial"/>
          <w:b/>
        </w:rPr>
        <w:t xml:space="preserve"> bone tumours (UICC TNM 8)</w:t>
      </w:r>
    </w:p>
    <w:p w14:paraId="217AC41D" w14:textId="77777777" w:rsidR="00DF6DFE" w:rsidRDefault="00DF6DFE" w:rsidP="00997D30">
      <w:pPr>
        <w:ind w:left="1985" w:hanging="1985"/>
        <w:rPr>
          <w:rFonts w:ascii="Arial" w:eastAsia="Calibri" w:hAnsi="Arial" w:cs="Arial"/>
          <w:sz w:val="22"/>
          <w:szCs w:val="22"/>
        </w:rPr>
      </w:pPr>
    </w:p>
    <w:p w14:paraId="7DC25FA1" w14:textId="77777777" w:rsidR="004350CB" w:rsidRPr="00997D30" w:rsidRDefault="004350CB" w:rsidP="00997D30">
      <w:pPr>
        <w:ind w:left="1985" w:hanging="1985"/>
        <w:rPr>
          <w:rFonts w:ascii="Arial" w:eastAsia="Calibri" w:hAnsi="Arial" w:cs="Arial"/>
          <w:sz w:val="22"/>
          <w:szCs w:val="22"/>
        </w:rPr>
      </w:pPr>
    </w:p>
    <w:p w14:paraId="24DB8E30" w14:textId="77777777" w:rsidR="00DB38AD" w:rsidRPr="00997D30" w:rsidRDefault="00DB38AD" w:rsidP="00997D30">
      <w:pPr>
        <w:tabs>
          <w:tab w:val="left" w:pos="1701"/>
        </w:tabs>
        <w:jc w:val="both"/>
        <w:rPr>
          <w:rFonts w:ascii="Arial" w:eastAsia="Calibri" w:hAnsi="Arial" w:cs="Arial"/>
          <w:sz w:val="22"/>
          <w:szCs w:val="22"/>
        </w:rPr>
      </w:pPr>
      <w:r w:rsidRPr="00997D30">
        <w:rPr>
          <w:rFonts w:ascii="Arial" w:eastAsia="Calibri" w:hAnsi="Arial" w:cs="Arial"/>
          <w:sz w:val="22"/>
          <w:szCs w:val="22"/>
        </w:rPr>
        <w:t>This update to Appendix B provide</w:t>
      </w:r>
      <w:r w:rsidR="00DF6DFE">
        <w:rPr>
          <w:rFonts w:ascii="Arial" w:eastAsia="Calibri" w:hAnsi="Arial" w:cs="Arial"/>
          <w:sz w:val="22"/>
          <w:szCs w:val="22"/>
        </w:rPr>
        <w:t>s</w:t>
      </w:r>
      <w:r w:rsidRPr="00997D30">
        <w:rPr>
          <w:rFonts w:ascii="Arial" w:eastAsia="Calibri" w:hAnsi="Arial" w:cs="Arial"/>
          <w:sz w:val="22"/>
          <w:szCs w:val="22"/>
        </w:rPr>
        <w:t xml:space="preserve"> updated information on staging using UICC TNM 8</w:t>
      </w:r>
      <w:r w:rsidR="009A7760">
        <w:rPr>
          <w:rFonts w:ascii="Arial" w:eastAsia="Calibri" w:hAnsi="Arial" w:cs="Arial"/>
          <w:sz w:val="22"/>
          <w:szCs w:val="22"/>
        </w:rPr>
        <w:t>,</w:t>
      </w:r>
      <w:r w:rsidRPr="00997D30">
        <w:rPr>
          <w:rFonts w:ascii="Arial" w:eastAsia="Calibri" w:hAnsi="Arial" w:cs="Arial"/>
          <w:sz w:val="22"/>
          <w:szCs w:val="22"/>
        </w:rPr>
        <w:t xml:space="preserve"> which should be used for al</w:t>
      </w:r>
      <w:r w:rsidR="009A7760">
        <w:rPr>
          <w:rFonts w:ascii="Arial" w:eastAsia="Calibri" w:hAnsi="Arial" w:cs="Arial"/>
          <w:sz w:val="22"/>
          <w:szCs w:val="22"/>
        </w:rPr>
        <w:t xml:space="preserve">l tumours diagnosed after 1 January </w:t>
      </w:r>
      <w:r w:rsidRPr="00997D30">
        <w:rPr>
          <w:rFonts w:ascii="Arial" w:eastAsia="Calibri" w:hAnsi="Arial" w:cs="Arial"/>
          <w:sz w:val="22"/>
          <w:szCs w:val="22"/>
        </w:rPr>
        <w:t xml:space="preserve">2018.  </w:t>
      </w:r>
    </w:p>
    <w:p w14:paraId="15EA9418" w14:textId="77777777" w:rsidR="004350CB" w:rsidRDefault="004350CB" w:rsidP="00997D30">
      <w:pPr>
        <w:rPr>
          <w:rFonts w:ascii="Arial" w:hAnsi="Arial" w:cs="Arial"/>
          <w:b/>
          <w:sz w:val="22"/>
          <w:szCs w:val="22"/>
        </w:rPr>
      </w:pPr>
    </w:p>
    <w:p w14:paraId="63400939" w14:textId="77777777" w:rsidR="00DF6DFE" w:rsidRPr="00997D30" w:rsidRDefault="00DF6DFE" w:rsidP="00997D30">
      <w:pPr>
        <w:rPr>
          <w:rFonts w:ascii="Arial" w:hAnsi="Arial" w:cs="Arial"/>
          <w:b/>
          <w:sz w:val="22"/>
          <w:szCs w:val="22"/>
        </w:rPr>
      </w:pPr>
    </w:p>
    <w:p w14:paraId="2AAECBDD" w14:textId="77777777" w:rsidR="004350CB" w:rsidRPr="009A7760" w:rsidRDefault="004350CB" w:rsidP="00997D30">
      <w:pPr>
        <w:ind w:right="51"/>
        <w:rPr>
          <w:rFonts w:ascii="Arial" w:hAnsi="Arial" w:cs="Arial"/>
          <w:b/>
          <w:lang w:val="en-US" w:eastAsia="en-GB"/>
        </w:rPr>
      </w:pPr>
      <w:r w:rsidRPr="009A7760">
        <w:rPr>
          <w:rFonts w:ascii="Arial" w:hAnsi="Arial" w:cs="Arial"/>
          <w:b/>
          <w:lang w:val="en-US" w:eastAsia="en-GB"/>
        </w:rPr>
        <w:t xml:space="preserve">Primary </w:t>
      </w:r>
      <w:proofErr w:type="spellStart"/>
      <w:r w:rsidRPr="009A7760">
        <w:rPr>
          <w:rFonts w:ascii="Arial" w:hAnsi="Arial" w:cs="Arial"/>
          <w:b/>
          <w:lang w:val="en-US" w:eastAsia="en-GB"/>
        </w:rPr>
        <w:t>tumour</w:t>
      </w:r>
      <w:proofErr w:type="spellEnd"/>
      <w:r w:rsidR="00997D30" w:rsidRPr="009A7760">
        <w:rPr>
          <w:rFonts w:ascii="Arial" w:hAnsi="Arial" w:cs="Arial"/>
          <w:b/>
          <w:lang w:val="en-US" w:eastAsia="en-GB"/>
        </w:rPr>
        <w:t xml:space="preserve"> (T)</w:t>
      </w:r>
    </w:p>
    <w:p w14:paraId="0ECFB64E" w14:textId="77777777" w:rsidR="00DF6DFE" w:rsidRPr="00997D30" w:rsidRDefault="00DF6DFE" w:rsidP="00997D30">
      <w:pPr>
        <w:ind w:right="51"/>
        <w:rPr>
          <w:rFonts w:ascii="Arial" w:hAnsi="Arial" w:cs="Arial"/>
          <w:b/>
          <w:bCs w:val="0"/>
          <w:sz w:val="22"/>
          <w:szCs w:val="22"/>
          <w:lang w:val="en-US" w:eastAsia="en-GB"/>
        </w:rPr>
      </w:pPr>
    </w:p>
    <w:p w14:paraId="519179B8" w14:textId="77777777" w:rsidR="009A7760" w:rsidRDefault="009A7760" w:rsidP="00997D30">
      <w:pPr>
        <w:spacing w:after="120"/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>
        <w:rPr>
          <w:rFonts w:ascii="Arial" w:hAnsi="Arial" w:cs="Arial"/>
          <w:sz w:val="22"/>
          <w:szCs w:val="22"/>
          <w:lang w:val="en-US" w:eastAsia="en-GB"/>
        </w:rPr>
        <w:t>TX</w:t>
      </w:r>
      <w:r>
        <w:rPr>
          <w:rFonts w:ascii="Arial" w:hAnsi="Arial" w:cs="Arial"/>
          <w:sz w:val="22"/>
          <w:szCs w:val="22"/>
          <w:lang w:val="en-US" w:eastAsia="en-GB"/>
        </w:rPr>
        <w:tab/>
        <w:t xml:space="preserve">Primary </w:t>
      </w:r>
      <w:proofErr w:type="spellStart"/>
      <w:r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>
        <w:rPr>
          <w:rFonts w:ascii="Arial" w:hAnsi="Arial" w:cs="Arial"/>
          <w:sz w:val="22"/>
          <w:szCs w:val="22"/>
          <w:lang w:val="en-US" w:eastAsia="en-GB"/>
        </w:rPr>
        <w:t xml:space="preserve"> cannot be assessed</w:t>
      </w:r>
    </w:p>
    <w:p w14:paraId="54F76833" w14:textId="77777777" w:rsidR="004350CB" w:rsidRDefault="004350CB" w:rsidP="00DF55B4">
      <w:pPr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T0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No evidence of primary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</w:p>
    <w:p w14:paraId="32655CFF" w14:textId="77777777" w:rsidR="00DF6DFE" w:rsidRPr="00997D30" w:rsidRDefault="00DF6DFE" w:rsidP="00997D30">
      <w:pPr>
        <w:tabs>
          <w:tab w:val="left" w:pos="567"/>
        </w:tabs>
        <w:ind w:left="567" w:hanging="567"/>
        <w:rPr>
          <w:rFonts w:ascii="Arial" w:hAnsi="Arial" w:cs="Arial"/>
          <w:sz w:val="22"/>
          <w:szCs w:val="22"/>
          <w:lang w:val="en-US" w:eastAsia="en-GB"/>
        </w:rPr>
      </w:pPr>
    </w:p>
    <w:p w14:paraId="75AD6EC3" w14:textId="77777777" w:rsidR="004350CB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  <w:r w:rsidRPr="00997D30">
        <w:rPr>
          <w:rFonts w:ascii="Arial" w:hAnsi="Arial" w:cs="Arial"/>
          <w:b/>
          <w:sz w:val="22"/>
          <w:szCs w:val="22"/>
          <w:lang w:val="en-US" w:eastAsia="en-GB"/>
        </w:rPr>
        <w:t>Appendicular skeleton, trunk, skull and facial bones</w:t>
      </w:r>
    </w:p>
    <w:p w14:paraId="197F1DA9" w14:textId="77777777" w:rsidR="00997D30" w:rsidRPr="00997D30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3CA1A8BF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T1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8 cm or less in greatest dimension</w:t>
      </w:r>
    </w:p>
    <w:p w14:paraId="20D384C0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T2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more than 8 cm in greatest dimension</w:t>
      </w:r>
    </w:p>
    <w:p w14:paraId="6D9879A9" w14:textId="77777777" w:rsidR="004350CB" w:rsidRDefault="004350CB" w:rsidP="00DF55B4">
      <w:pPr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T3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Discontinuous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in the primary bone site</w:t>
      </w:r>
    </w:p>
    <w:p w14:paraId="0D804647" w14:textId="77777777" w:rsidR="00997D30" w:rsidRDefault="00997D30" w:rsidP="00997D30">
      <w:pPr>
        <w:tabs>
          <w:tab w:val="left" w:pos="567"/>
        </w:tabs>
        <w:rPr>
          <w:rFonts w:ascii="Arial" w:hAnsi="Arial" w:cs="Arial"/>
          <w:sz w:val="22"/>
          <w:szCs w:val="22"/>
          <w:lang w:val="en-US" w:eastAsia="en-GB"/>
        </w:rPr>
      </w:pPr>
    </w:p>
    <w:p w14:paraId="0D14CB44" w14:textId="77777777" w:rsidR="004350CB" w:rsidRDefault="004350CB" w:rsidP="00997D30">
      <w:pPr>
        <w:rPr>
          <w:rFonts w:ascii="Arial" w:hAnsi="Arial" w:cs="Arial"/>
          <w:b/>
          <w:sz w:val="22"/>
          <w:szCs w:val="22"/>
          <w:lang w:val="en-US" w:eastAsia="en-GB"/>
        </w:rPr>
      </w:pPr>
      <w:r w:rsidRPr="00997D30">
        <w:rPr>
          <w:rFonts w:ascii="Arial" w:hAnsi="Arial" w:cs="Arial"/>
          <w:b/>
          <w:sz w:val="22"/>
          <w:szCs w:val="22"/>
          <w:lang w:val="en-US" w:eastAsia="en-GB"/>
        </w:rPr>
        <w:t>Spine</w:t>
      </w:r>
    </w:p>
    <w:p w14:paraId="71C6AF64" w14:textId="77777777" w:rsidR="00997D30" w:rsidRDefault="00997D30" w:rsidP="00997D30">
      <w:pPr>
        <w:rPr>
          <w:rFonts w:ascii="Arial" w:hAnsi="Arial" w:cs="Arial"/>
          <w:b/>
          <w:sz w:val="22"/>
          <w:szCs w:val="22"/>
          <w:lang w:val="en-US" w:eastAsia="en-GB"/>
        </w:rPr>
      </w:pPr>
    </w:p>
    <w:p w14:paraId="6E43784D" w14:textId="77777777" w:rsidR="00997D30" w:rsidRDefault="00997D30" w:rsidP="00997D30">
      <w:pPr>
        <w:jc w:val="both"/>
        <w:rPr>
          <w:rFonts w:ascii="Arial" w:hAnsi="Arial" w:cs="Arial"/>
          <w:b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The five vertebral segments are the: </w:t>
      </w:r>
      <w:r w:rsidR="009A7760">
        <w:rPr>
          <w:rFonts w:ascii="Arial" w:hAnsi="Arial" w:cs="Arial"/>
          <w:sz w:val="22"/>
          <w:szCs w:val="22"/>
          <w:lang w:val="en-US" w:eastAsia="en-GB"/>
        </w:rPr>
        <w:t>r</w:t>
      </w: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ight pedicle; </w:t>
      </w:r>
      <w:r w:rsidR="009A7760">
        <w:rPr>
          <w:rFonts w:ascii="Arial" w:hAnsi="Arial" w:cs="Arial"/>
          <w:sz w:val="22"/>
          <w:szCs w:val="22"/>
          <w:lang w:val="en-US" w:eastAsia="en-GB"/>
        </w:rPr>
        <w:t>r</w:t>
      </w: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ight body; </w:t>
      </w:r>
      <w:r w:rsidR="009A7760">
        <w:rPr>
          <w:rFonts w:ascii="Arial" w:hAnsi="Arial" w:cs="Arial"/>
          <w:sz w:val="22"/>
          <w:szCs w:val="22"/>
          <w:lang w:val="en-US" w:eastAsia="en-GB"/>
        </w:rPr>
        <w:t>l</w:t>
      </w: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eft body; </w:t>
      </w:r>
      <w:r w:rsidR="009A7760">
        <w:rPr>
          <w:rFonts w:ascii="Arial" w:hAnsi="Arial" w:cs="Arial"/>
          <w:sz w:val="22"/>
          <w:szCs w:val="22"/>
          <w:lang w:val="en-US" w:eastAsia="en-GB"/>
        </w:rPr>
        <w:t>l</w:t>
      </w:r>
      <w:r w:rsidRPr="00997D30">
        <w:rPr>
          <w:rFonts w:ascii="Arial" w:hAnsi="Arial" w:cs="Arial"/>
          <w:sz w:val="22"/>
          <w:szCs w:val="22"/>
          <w:lang w:val="en-US" w:eastAsia="en-GB"/>
        </w:rPr>
        <w:t>eft pedicle</w:t>
      </w:r>
      <w:proofErr w:type="gramStart"/>
      <w:r w:rsidR="009A7760">
        <w:rPr>
          <w:rFonts w:ascii="Arial" w:hAnsi="Arial" w:cs="Arial"/>
          <w:sz w:val="22"/>
          <w:szCs w:val="22"/>
          <w:lang w:val="en-US" w:eastAsia="en-GB"/>
        </w:rPr>
        <w:t>;</w:t>
      </w:r>
      <w:proofErr w:type="gramEnd"/>
      <w:r w:rsidR="009A7760">
        <w:rPr>
          <w:rFonts w:ascii="Arial" w:hAnsi="Arial" w:cs="Arial"/>
          <w:sz w:val="22"/>
          <w:szCs w:val="22"/>
          <w:lang w:val="en-US" w:eastAsia="en-GB"/>
        </w:rPr>
        <w:t xml:space="preserve"> and p</w:t>
      </w:r>
      <w:r w:rsidRPr="00997D30">
        <w:rPr>
          <w:rFonts w:ascii="Arial" w:hAnsi="Arial" w:cs="Arial"/>
          <w:sz w:val="22"/>
          <w:szCs w:val="22"/>
          <w:lang w:val="en-US" w:eastAsia="en-GB"/>
        </w:rPr>
        <w:t>osterior element</w:t>
      </w:r>
      <w:r>
        <w:rPr>
          <w:rFonts w:ascii="Arial" w:hAnsi="Arial" w:cs="Arial"/>
          <w:sz w:val="22"/>
          <w:szCs w:val="22"/>
          <w:lang w:val="en-US" w:eastAsia="en-GB"/>
        </w:rPr>
        <w:t>.</w:t>
      </w:r>
    </w:p>
    <w:p w14:paraId="2D6B0E3F" w14:textId="77777777" w:rsidR="00997D30" w:rsidRPr="00997D30" w:rsidRDefault="00997D30" w:rsidP="00997D30">
      <w:pPr>
        <w:rPr>
          <w:rFonts w:ascii="Arial" w:hAnsi="Arial" w:cs="Arial"/>
          <w:b/>
          <w:sz w:val="22"/>
          <w:szCs w:val="22"/>
          <w:lang w:val="en-US" w:eastAsia="en-GB"/>
        </w:rPr>
      </w:pPr>
    </w:p>
    <w:p w14:paraId="7F0E4C7E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T1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confined to a single vertebral segment or two adjacent vertebral segments</w:t>
      </w:r>
    </w:p>
    <w:p w14:paraId="62997429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T2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confined to three adjacent vertebral segments</w:t>
      </w:r>
    </w:p>
    <w:p w14:paraId="340A226F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T3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confined to four adjacent vertebral segments</w:t>
      </w:r>
    </w:p>
    <w:p w14:paraId="03D7D87D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T4a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invades into the spinal canal</w:t>
      </w:r>
    </w:p>
    <w:p w14:paraId="0A98F6ED" w14:textId="77777777" w:rsidR="004350CB" w:rsidRPr="00997D30" w:rsidRDefault="004350CB" w:rsidP="00DF55B4">
      <w:pPr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T4b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invades the adjacent vessels or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thrombosis within the adjacent vessels</w:t>
      </w:r>
    </w:p>
    <w:p w14:paraId="29458876" w14:textId="77777777" w:rsidR="009A7760" w:rsidRDefault="009A7760" w:rsidP="009A7760">
      <w:pPr>
        <w:tabs>
          <w:tab w:val="left" w:pos="567"/>
        </w:tabs>
        <w:rPr>
          <w:rFonts w:ascii="Arial" w:hAnsi="Arial" w:cs="Arial"/>
          <w:i/>
          <w:sz w:val="22"/>
          <w:szCs w:val="22"/>
          <w:lang w:val="en-US" w:eastAsia="en-GB"/>
        </w:rPr>
      </w:pPr>
    </w:p>
    <w:p w14:paraId="6B90F0B4" w14:textId="77777777" w:rsidR="004350CB" w:rsidRDefault="004350CB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  <w:r w:rsidRPr="00997D30">
        <w:rPr>
          <w:rFonts w:ascii="Arial" w:hAnsi="Arial" w:cs="Arial"/>
          <w:b/>
          <w:sz w:val="22"/>
          <w:szCs w:val="22"/>
          <w:lang w:val="en-US" w:eastAsia="en-GB"/>
        </w:rPr>
        <w:t>Pelvis</w:t>
      </w:r>
    </w:p>
    <w:p w14:paraId="326F216D" w14:textId="77777777" w:rsidR="00997D30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6C622C22" w14:textId="77777777" w:rsidR="00997D30" w:rsidRDefault="00997D30" w:rsidP="00997D30">
      <w:pPr>
        <w:jc w:val="both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The four pelvic segments are the: </w:t>
      </w:r>
      <w:r w:rsidR="009A7760">
        <w:rPr>
          <w:rFonts w:ascii="Arial" w:hAnsi="Arial" w:cs="Arial"/>
          <w:sz w:val="22"/>
          <w:szCs w:val="22"/>
          <w:lang w:val="en-US" w:eastAsia="en-GB"/>
        </w:rPr>
        <w:t>s</w:t>
      </w: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acrum </w:t>
      </w:r>
      <w:r w:rsidR="009A7760">
        <w:rPr>
          <w:rFonts w:ascii="Arial" w:hAnsi="Arial" w:cs="Arial"/>
          <w:sz w:val="22"/>
          <w:szCs w:val="22"/>
          <w:lang w:val="en-US" w:eastAsia="en-GB"/>
        </w:rPr>
        <w:t>lateral to the sacral foramen; i</w:t>
      </w:r>
      <w:r w:rsidRPr="00997D30">
        <w:rPr>
          <w:rFonts w:ascii="Arial" w:hAnsi="Arial" w:cs="Arial"/>
          <w:sz w:val="22"/>
          <w:szCs w:val="22"/>
          <w:lang w:val="en-US" w:eastAsia="en-GB"/>
        </w:rPr>
        <w:t>liac wing;</w:t>
      </w:r>
      <w:r>
        <w:rPr>
          <w:rFonts w:ascii="Arial" w:hAnsi="Arial" w:cs="Arial"/>
          <w:sz w:val="22"/>
          <w:szCs w:val="22"/>
          <w:lang w:val="en-US" w:eastAsia="en-GB"/>
        </w:rPr>
        <w:t xml:space="preserve"> </w:t>
      </w:r>
      <w:r w:rsidR="009A7760">
        <w:rPr>
          <w:rFonts w:ascii="Arial" w:hAnsi="Arial" w:cs="Arial"/>
          <w:sz w:val="22"/>
          <w:szCs w:val="22"/>
          <w:lang w:val="en-US" w:eastAsia="en-GB"/>
        </w:rPr>
        <w:t>a</w:t>
      </w:r>
      <w:r w:rsidRPr="00997D30">
        <w:rPr>
          <w:rFonts w:ascii="Arial" w:hAnsi="Arial" w:cs="Arial"/>
          <w:sz w:val="22"/>
          <w:szCs w:val="22"/>
          <w:lang w:val="en-US" w:eastAsia="en-GB"/>
        </w:rPr>
        <w:t>cetabulum/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periacetabulum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and </w:t>
      </w:r>
      <w:r w:rsidR="009A7760">
        <w:rPr>
          <w:rFonts w:ascii="Arial" w:hAnsi="Arial" w:cs="Arial"/>
          <w:sz w:val="22"/>
          <w:szCs w:val="22"/>
          <w:lang w:val="en-US" w:eastAsia="en-GB"/>
        </w:rPr>
        <w:t>p</w:t>
      </w: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elvic rami;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symphysis</w:t>
      </w:r>
      <w:proofErr w:type="spellEnd"/>
      <w:r w:rsidR="009A7760">
        <w:rPr>
          <w:rFonts w:ascii="Arial" w:hAnsi="Arial" w:cs="Arial"/>
          <w:sz w:val="22"/>
          <w:szCs w:val="22"/>
          <w:lang w:val="en-US" w:eastAsia="en-GB"/>
        </w:rPr>
        <w:t>;</w:t>
      </w: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and ischium</w:t>
      </w:r>
      <w:r>
        <w:rPr>
          <w:rFonts w:ascii="Arial" w:hAnsi="Arial" w:cs="Arial"/>
          <w:sz w:val="22"/>
          <w:szCs w:val="22"/>
          <w:lang w:val="en-US" w:eastAsia="en-GB"/>
        </w:rPr>
        <w:t>.</w:t>
      </w:r>
    </w:p>
    <w:p w14:paraId="0D4416E1" w14:textId="77777777" w:rsidR="00997D30" w:rsidRPr="00997D30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082E7967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T1a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A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8 cm or less in size and confined to a single pelvic segment with no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</w:t>
      </w:r>
    </w:p>
    <w:p w14:paraId="79F418B7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T1b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A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greater than 8 cm in size and confined to a single pelvic segment with no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</w:t>
      </w:r>
    </w:p>
    <w:p w14:paraId="24651C71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T2a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A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8 cm or less in size and confined to a single pelvic segment with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 or confined to two adjacent pelvic segments without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</w:t>
      </w:r>
    </w:p>
    <w:p w14:paraId="5600ED8C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T2b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A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greater than 8 cm in size and confined to a single pelvic segment with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 or confined to two adjacent pelvic segments without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</w:t>
      </w:r>
    </w:p>
    <w:p w14:paraId="7CA5ED2C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T3a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A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8 cm or less in size and confined to two pelvic segments with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</w:t>
      </w:r>
    </w:p>
    <w:p w14:paraId="04889E9C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T3b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A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greater than 8 cm in size and confined to two pelvic segment with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extraosseous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extension</w:t>
      </w:r>
    </w:p>
    <w:p w14:paraId="08397043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T4a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involving three adjacent pelvic segments or crossing the sacroiliac joint to the sacral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neuroforamen</w:t>
      </w:r>
      <w:proofErr w:type="spellEnd"/>
    </w:p>
    <w:p w14:paraId="1E94668D" w14:textId="77777777" w:rsidR="004350CB" w:rsidRPr="00997D30" w:rsidRDefault="004350CB" w:rsidP="00DF55B4">
      <w:pPr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lastRenderedPageBreak/>
        <w:t>T4b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encasing the external iliac vessels or gross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thrombus in major pelvic vessels</w:t>
      </w:r>
    </w:p>
    <w:p w14:paraId="3E2EE925" w14:textId="77777777" w:rsidR="00DF6DFE" w:rsidRDefault="00DF6DFE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28B2F394" w14:textId="77777777" w:rsidR="00DF6DFE" w:rsidRDefault="00DF6DFE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74374503" w14:textId="77777777" w:rsidR="004350CB" w:rsidRPr="009A7760" w:rsidRDefault="004350CB" w:rsidP="00997D30">
      <w:pPr>
        <w:tabs>
          <w:tab w:val="left" w:pos="567"/>
        </w:tabs>
        <w:ind w:left="567" w:hanging="567"/>
        <w:rPr>
          <w:rFonts w:ascii="Arial" w:hAnsi="Arial" w:cs="Arial"/>
          <w:b/>
          <w:lang w:val="en-US" w:eastAsia="en-GB"/>
        </w:rPr>
      </w:pPr>
      <w:r w:rsidRPr="009A7760">
        <w:rPr>
          <w:rFonts w:ascii="Arial" w:hAnsi="Arial" w:cs="Arial"/>
          <w:b/>
          <w:lang w:val="en-US" w:eastAsia="en-GB"/>
        </w:rPr>
        <w:t>Regional lymph nodes</w:t>
      </w:r>
      <w:r w:rsidR="00997D30" w:rsidRPr="009A7760">
        <w:rPr>
          <w:rFonts w:ascii="Arial" w:hAnsi="Arial" w:cs="Arial"/>
          <w:b/>
          <w:lang w:val="en-US" w:eastAsia="en-GB"/>
        </w:rPr>
        <w:t xml:space="preserve"> (N)</w:t>
      </w:r>
    </w:p>
    <w:p w14:paraId="075F728A" w14:textId="77777777" w:rsidR="00997D30" w:rsidRPr="00997D30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bCs w:val="0"/>
          <w:sz w:val="22"/>
          <w:szCs w:val="22"/>
          <w:lang w:val="en-US" w:eastAsia="en-GB"/>
        </w:rPr>
      </w:pPr>
    </w:p>
    <w:p w14:paraId="73B9C1B7" w14:textId="77777777" w:rsidR="009A776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NX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Regional lymph nodes cannot be assessed</w:t>
      </w:r>
    </w:p>
    <w:p w14:paraId="3849826A" w14:textId="77777777" w:rsidR="004350CB" w:rsidRPr="00997D30" w:rsidRDefault="009A7760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>
        <w:rPr>
          <w:rFonts w:ascii="Arial" w:hAnsi="Arial" w:cs="Arial"/>
          <w:sz w:val="22"/>
          <w:szCs w:val="22"/>
          <w:lang w:val="en-US" w:eastAsia="en-GB"/>
        </w:rPr>
        <w:t>N0</w:t>
      </w:r>
      <w:r>
        <w:rPr>
          <w:rFonts w:ascii="Arial" w:hAnsi="Arial" w:cs="Arial"/>
          <w:sz w:val="22"/>
          <w:szCs w:val="22"/>
          <w:lang w:val="en-US" w:eastAsia="en-GB"/>
        </w:rPr>
        <w:tab/>
        <w:t>No regional lymph node metastasis</w:t>
      </w:r>
      <w:r w:rsidR="004350CB" w:rsidRPr="00997D30">
        <w:rPr>
          <w:rFonts w:ascii="Arial" w:hAnsi="Arial" w:cs="Arial"/>
          <w:sz w:val="22"/>
          <w:szCs w:val="22"/>
          <w:lang w:val="en-US" w:eastAsia="en-GB"/>
        </w:rPr>
        <w:t xml:space="preserve"> </w:t>
      </w:r>
    </w:p>
    <w:p w14:paraId="771CFCF0" w14:textId="77777777" w:rsidR="00DF6DFE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N1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Regional lymph node metastasis</w:t>
      </w:r>
    </w:p>
    <w:p w14:paraId="2E207AA0" w14:textId="77777777" w:rsidR="00DF6DFE" w:rsidRDefault="00DF6DFE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2F0D1448" w14:textId="77777777" w:rsidR="00997D30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23CFE4ED" w14:textId="77777777" w:rsidR="004350CB" w:rsidRPr="009A7760" w:rsidRDefault="004350CB" w:rsidP="00997D30">
      <w:pPr>
        <w:tabs>
          <w:tab w:val="left" w:pos="567"/>
        </w:tabs>
        <w:ind w:left="567" w:hanging="567"/>
        <w:rPr>
          <w:rFonts w:ascii="Arial" w:hAnsi="Arial" w:cs="Arial"/>
          <w:b/>
          <w:lang w:val="en-US" w:eastAsia="en-GB"/>
        </w:rPr>
      </w:pPr>
      <w:r w:rsidRPr="009A7760">
        <w:rPr>
          <w:rFonts w:ascii="Arial" w:hAnsi="Arial" w:cs="Arial"/>
          <w:b/>
          <w:lang w:val="en-US" w:eastAsia="en-GB"/>
        </w:rPr>
        <w:t>Distant metastasis</w:t>
      </w:r>
      <w:r w:rsidR="00997D30" w:rsidRPr="009A7760">
        <w:rPr>
          <w:rFonts w:ascii="Arial" w:hAnsi="Arial" w:cs="Arial"/>
          <w:b/>
          <w:lang w:val="en-US" w:eastAsia="en-GB"/>
        </w:rPr>
        <w:t xml:space="preserve"> (M)</w:t>
      </w:r>
    </w:p>
    <w:p w14:paraId="798E189C" w14:textId="77777777" w:rsidR="00997D30" w:rsidRPr="00997D30" w:rsidRDefault="00997D30" w:rsidP="00997D30">
      <w:pPr>
        <w:tabs>
          <w:tab w:val="left" w:pos="567"/>
        </w:tabs>
        <w:ind w:left="567" w:hanging="567"/>
        <w:rPr>
          <w:rFonts w:ascii="Arial" w:hAnsi="Arial" w:cs="Arial"/>
          <w:b/>
          <w:bCs w:val="0"/>
          <w:sz w:val="22"/>
          <w:szCs w:val="22"/>
          <w:lang w:eastAsia="en-GB"/>
        </w:rPr>
      </w:pPr>
    </w:p>
    <w:p w14:paraId="5B530192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  <w:lang w:eastAsia="en-GB"/>
        </w:rPr>
      </w:pPr>
      <w:r w:rsidRPr="00997D30">
        <w:rPr>
          <w:rFonts w:ascii="Arial" w:hAnsi="Arial" w:cs="Arial"/>
          <w:sz w:val="22"/>
          <w:szCs w:val="22"/>
          <w:lang w:eastAsia="en-GB"/>
        </w:rPr>
        <w:t xml:space="preserve">MX </w:t>
      </w:r>
      <w:r w:rsidRPr="00997D30">
        <w:rPr>
          <w:rFonts w:ascii="Arial" w:hAnsi="Arial" w:cs="Arial"/>
          <w:sz w:val="22"/>
          <w:szCs w:val="22"/>
          <w:lang w:eastAsia="en-GB"/>
        </w:rPr>
        <w:tab/>
        <w:t>Distant metastasis cannot be assessed</w:t>
      </w:r>
    </w:p>
    <w:p w14:paraId="1A702345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r w:rsidRPr="00997D30">
        <w:rPr>
          <w:rFonts w:ascii="Arial" w:hAnsi="Arial" w:cs="Arial"/>
          <w:sz w:val="22"/>
          <w:szCs w:val="22"/>
        </w:rPr>
        <w:t>M0</w:t>
      </w:r>
      <w:r w:rsidRPr="00997D30">
        <w:rPr>
          <w:rFonts w:ascii="Arial" w:hAnsi="Arial" w:cs="Arial"/>
          <w:sz w:val="22"/>
          <w:szCs w:val="22"/>
        </w:rPr>
        <w:tab/>
        <w:t>No distant metastasis</w:t>
      </w:r>
    </w:p>
    <w:p w14:paraId="5B05D0C0" w14:textId="77777777" w:rsidR="004350CB" w:rsidRPr="00997D30" w:rsidRDefault="004350CB" w:rsidP="00997D30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r w:rsidRPr="00997D30">
        <w:rPr>
          <w:rFonts w:ascii="Arial" w:hAnsi="Arial" w:cs="Arial"/>
          <w:sz w:val="22"/>
          <w:szCs w:val="22"/>
        </w:rPr>
        <w:t>M1</w:t>
      </w:r>
      <w:r w:rsidRPr="00997D30">
        <w:rPr>
          <w:rFonts w:ascii="Arial" w:hAnsi="Arial" w:cs="Arial"/>
          <w:sz w:val="22"/>
          <w:szCs w:val="22"/>
        </w:rPr>
        <w:tab/>
        <w:t>Distant metastasis</w:t>
      </w:r>
    </w:p>
    <w:p w14:paraId="092648EB" w14:textId="77777777" w:rsidR="004350CB" w:rsidRPr="00997D30" w:rsidRDefault="004350CB" w:rsidP="00997D30">
      <w:pPr>
        <w:spacing w:after="120"/>
        <w:ind w:left="1985" w:hanging="993"/>
        <w:rPr>
          <w:rFonts w:ascii="Arial" w:hAnsi="Arial" w:cs="Arial"/>
          <w:sz w:val="22"/>
          <w:szCs w:val="22"/>
          <w:lang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M1a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Lung</w:t>
      </w:r>
    </w:p>
    <w:p w14:paraId="1CC819D1" w14:textId="77777777" w:rsidR="004350CB" w:rsidRPr="00997D30" w:rsidRDefault="004350CB" w:rsidP="00DF55B4">
      <w:pPr>
        <w:ind w:left="1984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M1b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Other distant sites</w:t>
      </w:r>
    </w:p>
    <w:p w14:paraId="4393347A" w14:textId="77777777" w:rsidR="00635E2F" w:rsidRPr="00997D30" w:rsidRDefault="00635E2F" w:rsidP="005D582F">
      <w:pPr>
        <w:tabs>
          <w:tab w:val="left" w:pos="1134"/>
        </w:tabs>
        <w:ind w:right="236"/>
        <w:rPr>
          <w:rFonts w:ascii="Arial" w:hAnsi="Arial" w:cs="Arial"/>
          <w:sz w:val="22"/>
          <w:szCs w:val="22"/>
          <w:lang w:val="en-US" w:eastAsia="en-GB"/>
        </w:rPr>
      </w:pPr>
    </w:p>
    <w:p w14:paraId="01510617" w14:textId="77777777" w:rsidR="00DF6DFE" w:rsidRDefault="00DF6DFE" w:rsidP="00997D30">
      <w:pPr>
        <w:tabs>
          <w:tab w:val="left" w:pos="567"/>
        </w:tabs>
        <w:ind w:left="567" w:right="238" w:hanging="567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1C6344B3" w14:textId="77777777" w:rsidR="004350CB" w:rsidRPr="009A7760" w:rsidRDefault="004350CB" w:rsidP="00997D30">
      <w:pPr>
        <w:tabs>
          <w:tab w:val="left" w:pos="567"/>
        </w:tabs>
        <w:ind w:left="567" w:right="238" w:hanging="567"/>
        <w:rPr>
          <w:rFonts w:ascii="Arial" w:hAnsi="Arial" w:cs="Arial"/>
          <w:b/>
          <w:lang w:val="en-US" w:eastAsia="en-GB"/>
        </w:rPr>
      </w:pPr>
      <w:r w:rsidRPr="009A7760">
        <w:rPr>
          <w:rFonts w:ascii="Arial" w:hAnsi="Arial" w:cs="Arial"/>
          <w:b/>
          <w:lang w:val="en-US" w:eastAsia="en-GB"/>
        </w:rPr>
        <w:t xml:space="preserve">Histologic grade </w:t>
      </w:r>
      <w:r w:rsidR="00997D30" w:rsidRPr="009A7760">
        <w:rPr>
          <w:rFonts w:ascii="Arial" w:hAnsi="Arial" w:cs="Arial"/>
          <w:b/>
          <w:lang w:val="en-US" w:eastAsia="en-GB"/>
        </w:rPr>
        <w:t>(G)</w:t>
      </w:r>
    </w:p>
    <w:p w14:paraId="274F3E2D" w14:textId="77777777" w:rsidR="00997D30" w:rsidRPr="00997D30" w:rsidRDefault="00997D30" w:rsidP="00997D30">
      <w:pPr>
        <w:tabs>
          <w:tab w:val="left" w:pos="567"/>
        </w:tabs>
        <w:ind w:left="567" w:right="238" w:hanging="567"/>
        <w:rPr>
          <w:rFonts w:ascii="Arial" w:hAnsi="Arial" w:cs="Arial"/>
          <w:sz w:val="22"/>
          <w:szCs w:val="22"/>
          <w:lang w:val="en-US" w:eastAsia="en-GB"/>
        </w:rPr>
      </w:pPr>
    </w:p>
    <w:p w14:paraId="26111DB4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GX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Grade cannot be assessed</w:t>
      </w:r>
    </w:p>
    <w:p w14:paraId="79AD39F2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G1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Well differentiated – low grade</w:t>
      </w:r>
    </w:p>
    <w:p w14:paraId="05950047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G2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Moderately differentiated – low grade</w:t>
      </w:r>
    </w:p>
    <w:p w14:paraId="40384955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G3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Poorly differentiated – high grade</w:t>
      </w:r>
    </w:p>
    <w:p w14:paraId="4A621BCB" w14:textId="77777777" w:rsidR="005D582F" w:rsidRDefault="004350CB" w:rsidP="005D58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G4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>Undifferentiated – high grade*</w:t>
      </w:r>
    </w:p>
    <w:p w14:paraId="30D11363" w14:textId="77777777" w:rsidR="004350CB" w:rsidRPr="00997D30" w:rsidRDefault="004350CB" w:rsidP="00DF55B4">
      <w:pPr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*</w:t>
      </w:r>
      <w:r w:rsidR="00635E2F">
        <w:rPr>
          <w:rFonts w:ascii="Arial" w:hAnsi="Arial" w:cs="Arial"/>
          <w:sz w:val="22"/>
          <w:szCs w:val="22"/>
          <w:lang w:val="en-US" w:eastAsia="en-GB"/>
        </w:rPr>
        <w:t xml:space="preserve"> </w:t>
      </w:r>
      <w:r w:rsidRPr="00997D30">
        <w:rPr>
          <w:rFonts w:ascii="Arial" w:hAnsi="Arial" w:cs="Arial"/>
          <w:sz w:val="22"/>
          <w:szCs w:val="22"/>
          <w:lang w:val="en-US" w:eastAsia="en-GB"/>
        </w:rPr>
        <w:t>Ewing’s sarcoma is classified as high grade.</w:t>
      </w:r>
    </w:p>
    <w:p w14:paraId="5FE1923B" w14:textId="77777777" w:rsidR="004350CB" w:rsidRPr="00997D30" w:rsidRDefault="004350CB" w:rsidP="00997D30">
      <w:pPr>
        <w:ind w:right="236"/>
        <w:rPr>
          <w:rFonts w:ascii="Arial" w:hAnsi="Arial" w:cs="Arial"/>
          <w:sz w:val="22"/>
          <w:szCs w:val="22"/>
          <w:lang w:val="en-US" w:eastAsia="en-GB"/>
        </w:rPr>
      </w:pPr>
    </w:p>
    <w:p w14:paraId="6BB3D665" w14:textId="77777777" w:rsidR="004350CB" w:rsidRPr="00997D30" w:rsidRDefault="004350CB" w:rsidP="00997D30">
      <w:pPr>
        <w:ind w:right="236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6D34CF48" w14:textId="77777777" w:rsidR="009A7760" w:rsidRDefault="004350CB" w:rsidP="00997D30">
      <w:pPr>
        <w:ind w:right="236"/>
        <w:rPr>
          <w:rFonts w:ascii="Arial" w:hAnsi="Arial" w:cs="Arial"/>
          <w:b/>
          <w:lang w:val="en-US" w:eastAsia="en-GB"/>
        </w:rPr>
      </w:pPr>
      <w:r w:rsidRPr="009A7760">
        <w:rPr>
          <w:rFonts w:ascii="Arial" w:hAnsi="Arial" w:cs="Arial"/>
          <w:b/>
          <w:lang w:val="en-US" w:eastAsia="en-GB"/>
        </w:rPr>
        <w:t>Stage grouping</w:t>
      </w:r>
    </w:p>
    <w:p w14:paraId="1E010142" w14:textId="77777777" w:rsidR="009A7760" w:rsidRPr="009A7760" w:rsidRDefault="009A7760" w:rsidP="00997D30">
      <w:pPr>
        <w:ind w:right="236"/>
        <w:rPr>
          <w:rFonts w:ascii="Arial" w:hAnsi="Arial" w:cs="Arial"/>
          <w:b/>
          <w:lang w:val="en-US" w:eastAsia="en-GB"/>
        </w:rPr>
      </w:pPr>
    </w:p>
    <w:p w14:paraId="2799FD72" w14:textId="77777777" w:rsidR="004350CB" w:rsidRDefault="009A7760" w:rsidP="00997D30">
      <w:pPr>
        <w:ind w:right="236"/>
        <w:rPr>
          <w:rFonts w:ascii="Arial" w:hAnsi="Arial" w:cs="Arial"/>
          <w:b/>
          <w:sz w:val="22"/>
          <w:szCs w:val="22"/>
          <w:lang w:val="en-US" w:eastAsia="en-GB"/>
        </w:rPr>
      </w:pPr>
      <w:r>
        <w:rPr>
          <w:rFonts w:ascii="Arial" w:hAnsi="Arial" w:cs="Arial"/>
          <w:b/>
          <w:sz w:val="22"/>
          <w:szCs w:val="22"/>
          <w:lang w:val="en-US" w:eastAsia="en-GB"/>
        </w:rPr>
        <w:t>Appendicular skeleton, t</w:t>
      </w:r>
      <w:r w:rsidR="004350CB" w:rsidRPr="00997D30">
        <w:rPr>
          <w:rFonts w:ascii="Arial" w:hAnsi="Arial" w:cs="Arial"/>
          <w:b/>
          <w:sz w:val="22"/>
          <w:szCs w:val="22"/>
          <w:lang w:val="en-US" w:eastAsia="en-GB"/>
        </w:rPr>
        <w:t xml:space="preserve">runk, </w:t>
      </w:r>
      <w:r>
        <w:rPr>
          <w:rFonts w:ascii="Arial" w:hAnsi="Arial" w:cs="Arial"/>
          <w:b/>
          <w:sz w:val="22"/>
          <w:szCs w:val="22"/>
          <w:lang w:val="en-US" w:eastAsia="en-GB"/>
        </w:rPr>
        <w:t>s</w:t>
      </w:r>
      <w:r w:rsidR="004350CB" w:rsidRPr="00997D30">
        <w:rPr>
          <w:rFonts w:ascii="Arial" w:hAnsi="Arial" w:cs="Arial"/>
          <w:b/>
          <w:sz w:val="22"/>
          <w:szCs w:val="22"/>
          <w:lang w:val="en-US" w:eastAsia="en-GB"/>
        </w:rPr>
        <w:t xml:space="preserve">kull and </w:t>
      </w:r>
      <w:r>
        <w:rPr>
          <w:rFonts w:ascii="Arial" w:hAnsi="Arial" w:cs="Arial"/>
          <w:b/>
          <w:sz w:val="22"/>
          <w:szCs w:val="22"/>
          <w:lang w:val="en-US" w:eastAsia="en-GB"/>
        </w:rPr>
        <w:t>f</w:t>
      </w:r>
      <w:r w:rsidR="004350CB" w:rsidRPr="00997D30">
        <w:rPr>
          <w:rFonts w:ascii="Arial" w:hAnsi="Arial" w:cs="Arial"/>
          <w:b/>
          <w:sz w:val="22"/>
          <w:szCs w:val="22"/>
          <w:lang w:val="en-US" w:eastAsia="en-GB"/>
        </w:rPr>
        <w:t xml:space="preserve">acial </w:t>
      </w:r>
      <w:r>
        <w:rPr>
          <w:rFonts w:ascii="Arial" w:hAnsi="Arial" w:cs="Arial"/>
          <w:b/>
          <w:sz w:val="22"/>
          <w:szCs w:val="22"/>
          <w:lang w:val="en-US" w:eastAsia="en-GB"/>
        </w:rPr>
        <w:t>b</w:t>
      </w:r>
      <w:r w:rsidR="004350CB" w:rsidRPr="00997D30">
        <w:rPr>
          <w:rFonts w:ascii="Arial" w:hAnsi="Arial" w:cs="Arial"/>
          <w:b/>
          <w:sz w:val="22"/>
          <w:szCs w:val="22"/>
          <w:lang w:val="en-US" w:eastAsia="en-GB"/>
        </w:rPr>
        <w:t>ones</w:t>
      </w:r>
    </w:p>
    <w:p w14:paraId="599CC84B" w14:textId="77777777" w:rsidR="00635E2F" w:rsidRDefault="00635E2F" w:rsidP="00997D30">
      <w:pPr>
        <w:ind w:right="236"/>
        <w:rPr>
          <w:rFonts w:ascii="Arial" w:hAnsi="Arial" w:cs="Arial"/>
          <w:b/>
          <w:sz w:val="22"/>
          <w:szCs w:val="22"/>
          <w:lang w:val="en-US" w:eastAsia="en-GB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1443"/>
        <w:gridCol w:w="1088"/>
        <w:gridCol w:w="1052"/>
        <w:gridCol w:w="1076"/>
        <w:gridCol w:w="2263"/>
      </w:tblGrid>
      <w:tr w:rsidR="00635E2F" w14:paraId="195A15B2" w14:textId="77777777" w:rsidTr="009A7760">
        <w:tc>
          <w:tcPr>
            <w:tcW w:w="0" w:type="auto"/>
          </w:tcPr>
          <w:p w14:paraId="6EBCC2D4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IA</w:t>
            </w:r>
          </w:p>
        </w:tc>
        <w:tc>
          <w:tcPr>
            <w:tcW w:w="0" w:type="auto"/>
          </w:tcPr>
          <w:p w14:paraId="5A8B3A32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T1</w:t>
            </w:r>
          </w:p>
        </w:tc>
        <w:tc>
          <w:tcPr>
            <w:tcW w:w="0" w:type="auto"/>
          </w:tcPr>
          <w:p w14:paraId="2A4481AF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N0</w:t>
            </w:r>
          </w:p>
        </w:tc>
        <w:tc>
          <w:tcPr>
            <w:tcW w:w="0" w:type="auto"/>
          </w:tcPr>
          <w:p w14:paraId="212FD12C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M0</w:t>
            </w:r>
          </w:p>
        </w:tc>
        <w:tc>
          <w:tcPr>
            <w:tcW w:w="0" w:type="auto"/>
          </w:tcPr>
          <w:p w14:paraId="42783A1C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G1, GX low grade</w:t>
            </w:r>
          </w:p>
        </w:tc>
      </w:tr>
      <w:tr w:rsidR="00635E2F" w14:paraId="7B921564" w14:textId="77777777" w:rsidTr="009A7760">
        <w:tc>
          <w:tcPr>
            <w:tcW w:w="0" w:type="auto"/>
          </w:tcPr>
          <w:p w14:paraId="2FFF191E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IB</w:t>
            </w:r>
          </w:p>
        </w:tc>
        <w:tc>
          <w:tcPr>
            <w:tcW w:w="0" w:type="auto"/>
          </w:tcPr>
          <w:p w14:paraId="68736A5D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T2, T3</w:t>
            </w:r>
          </w:p>
        </w:tc>
        <w:tc>
          <w:tcPr>
            <w:tcW w:w="0" w:type="auto"/>
          </w:tcPr>
          <w:p w14:paraId="2EC46327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N0</w:t>
            </w:r>
          </w:p>
        </w:tc>
        <w:tc>
          <w:tcPr>
            <w:tcW w:w="0" w:type="auto"/>
          </w:tcPr>
          <w:p w14:paraId="3F1CA230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M0</w:t>
            </w:r>
          </w:p>
        </w:tc>
        <w:tc>
          <w:tcPr>
            <w:tcW w:w="0" w:type="auto"/>
          </w:tcPr>
          <w:p w14:paraId="4886EF2B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G1, GX low grade</w:t>
            </w:r>
          </w:p>
        </w:tc>
      </w:tr>
      <w:tr w:rsidR="00635E2F" w14:paraId="2AFAC652" w14:textId="77777777" w:rsidTr="009A7760">
        <w:tc>
          <w:tcPr>
            <w:tcW w:w="0" w:type="auto"/>
          </w:tcPr>
          <w:p w14:paraId="2E4B9630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IIA</w:t>
            </w:r>
          </w:p>
        </w:tc>
        <w:tc>
          <w:tcPr>
            <w:tcW w:w="0" w:type="auto"/>
          </w:tcPr>
          <w:p w14:paraId="24CD88D4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T1</w:t>
            </w:r>
          </w:p>
        </w:tc>
        <w:tc>
          <w:tcPr>
            <w:tcW w:w="0" w:type="auto"/>
          </w:tcPr>
          <w:p w14:paraId="7C06FB3D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N0</w:t>
            </w:r>
          </w:p>
        </w:tc>
        <w:tc>
          <w:tcPr>
            <w:tcW w:w="0" w:type="auto"/>
          </w:tcPr>
          <w:p w14:paraId="32E14547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M0</w:t>
            </w:r>
          </w:p>
        </w:tc>
        <w:tc>
          <w:tcPr>
            <w:tcW w:w="0" w:type="auto"/>
          </w:tcPr>
          <w:p w14:paraId="072B80D9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G2, G3 high grade</w:t>
            </w:r>
          </w:p>
        </w:tc>
      </w:tr>
      <w:tr w:rsidR="00635E2F" w14:paraId="314294D8" w14:textId="77777777" w:rsidTr="009A7760">
        <w:tc>
          <w:tcPr>
            <w:tcW w:w="0" w:type="auto"/>
          </w:tcPr>
          <w:p w14:paraId="7197082F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IIB</w:t>
            </w:r>
          </w:p>
        </w:tc>
        <w:tc>
          <w:tcPr>
            <w:tcW w:w="0" w:type="auto"/>
          </w:tcPr>
          <w:p w14:paraId="4A21EF74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T2</w:t>
            </w:r>
          </w:p>
        </w:tc>
        <w:tc>
          <w:tcPr>
            <w:tcW w:w="0" w:type="auto"/>
          </w:tcPr>
          <w:p w14:paraId="12EC2310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N0</w:t>
            </w:r>
          </w:p>
        </w:tc>
        <w:tc>
          <w:tcPr>
            <w:tcW w:w="0" w:type="auto"/>
          </w:tcPr>
          <w:p w14:paraId="0809E233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M0</w:t>
            </w:r>
          </w:p>
        </w:tc>
        <w:tc>
          <w:tcPr>
            <w:tcW w:w="0" w:type="auto"/>
          </w:tcPr>
          <w:p w14:paraId="7E3779A4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G2, G3 high grade</w:t>
            </w:r>
          </w:p>
        </w:tc>
      </w:tr>
      <w:tr w:rsidR="00635E2F" w14:paraId="50B30668" w14:textId="77777777" w:rsidTr="009A7760">
        <w:tc>
          <w:tcPr>
            <w:tcW w:w="0" w:type="auto"/>
          </w:tcPr>
          <w:p w14:paraId="6254FD81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III</w:t>
            </w:r>
          </w:p>
        </w:tc>
        <w:tc>
          <w:tcPr>
            <w:tcW w:w="0" w:type="auto"/>
          </w:tcPr>
          <w:p w14:paraId="718E324D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T3</w:t>
            </w:r>
          </w:p>
        </w:tc>
        <w:tc>
          <w:tcPr>
            <w:tcW w:w="0" w:type="auto"/>
          </w:tcPr>
          <w:p w14:paraId="772C9826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N0</w:t>
            </w:r>
          </w:p>
        </w:tc>
        <w:tc>
          <w:tcPr>
            <w:tcW w:w="0" w:type="auto"/>
          </w:tcPr>
          <w:p w14:paraId="04D5E477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M0</w:t>
            </w:r>
          </w:p>
        </w:tc>
        <w:tc>
          <w:tcPr>
            <w:tcW w:w="0" w:type="auto"/>
          </w:tcPr>
          <w:p w14:paraId="1CAA6A0C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G2, G3 high grade</w:t>
            </w:r>
          </w:p>
        </w:tc>
      </w:tr>
      <w:tr w:rsidR="00635E2F" w14:paraId="55847FF8" w14:textId="77777777" w:rsidTr="009A7760">
        <w:tc>
          <w:tcPr>
            <w:tcW w:w="0" w:type="auto"/>
            <w:tcBorders>
              <w:bottom w:val="single" w:sz="4" w:space="0" w:color="auto"/>
            </w:tcBorders>
          </w:tcPr>
          <w:p w14:paraId="7F099886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IVA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2D373B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AC914D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4EF9A8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M1a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CC9532" w14:textId="77777777" w:rsidR="00635E2F" w:rsidRDefault="00635E2F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G</w:t>
            </w:r>
          </w:p>
        </w:tc>
      </w:tr>
      <w:tr w:rsidR="009A7760" w14:paraId="082277B6" w14:textId="77777777" w:rsidTr="006263B4">
        <w:tc>
          <w:tcPr>
            <w:tcW w:w="0" w:type="auto"/>
            <w:vMerge w:val="restart"/>
          </w:tcPr>
          <w:p w14:paraId="572E4102" w14:textId="77777777" w:rsidR="009A7760" w:rsidRDefault="009A7760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Stage IVB</w:t>
            </w:r>
          </w:p>
        </w:tc>
        <w:tc>
          <w:tcPr>
            <w:tcW w:w="0" w:type="auto"/>
            <w:tcBorders>
              <w:bottom w:val="nil"/>
            </w:tcBorders>
          </w:tcPr>
          <w:p w14:paraId="2480C37E" w14:textId="77777777" w:rsidR="009A7760" w:rsidRDefault="009A7760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T</w:t>
            </w:r>
          </w:p>
        </w:tc>
        <w:tc>
          <w:tcPr>
            <w:tcW w:w="0" w:type="auto"/>
            <w:tcBorders>
              <w:bottom w:val="nil"/>
            </w:tcBorders>
          </w:tcPr>
          <w:p w14:paraId="7AD88379" w14:textId="77777777" w:rsidR="009A7760" w:rsidRDefault="009A7760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N1</w:t>
            </w:r>
          </w:p>
        </w:tc>
        <w:tc>
          <w:tcPr>
            <w:tcW w:w="0" w:type="auto"/>
            <w:tcBorders>
              <w:bottom w:val="nil"/>
            </w:tcBorders>
          </w:tcPr>
          <w:p w14:paraId="5F38BCD4" w14:textId="77777777" w:rsidR="009A7760" w:rsidRDefault="009A7760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M</w:t>
            </w:r>
          </w:p>
        </w:tc>
        <w:tc>
          <w:tcPr>
            <w:tcW w:w="0" w:type="auto"/>
            <w:tcBorders>
              <w:bottom w:val="nil"/>
            </w:tcBorders>
          </w:tcPr>
          <w:p w14:paraId="1EB1053B" w14:textId="77777777" w:rsidR="009A7760" w:rsidRDefault="009A7760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G</w:t>
            </w:r>
          </w:p>
        </w:tc>
      </w:tr>
      <w:tr w:rsidR="00DF55B4" w14:paraId="2CFACB61" w14:textId="77777777" w:rsidTr="00D9331F">
        <w:trPr>
          <w:trHeight w:val="330"/>
        </w:trPr>
        <w:tc>
          <w:tcPr>
            <w:tcW w:w="0" w:type="auto"/>
            <w:vMerge/>
          </w:tcPr>
          <w:p w14:paraId="2D573B57" w14:textId="77777777" w:rsidR="00DF55B4" w:rsidRDefault="00DF55B4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</w:p>
        </w:tc>
        <w:tc>
          <w:tcPr>
            <w:tcW w:w="0" w:type="auto"/>
          </w:tcPr>
          <w:p w14:paraId="068C3141" w14:textId="77777777" w:rsidR="00DF55B4" w:rsidRDefault="00DF55B4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T</w:t>
            </w:r>
          </w:p>
        </w:tc>
        <w:tc>
          <w:tcPr>
            <w:tcW w:w="0" w:type="auto"/>
          </w:tcPr>
          <w:p w14:paraId="4B4A4A60" w14:textId="77777777" w:rsidR="00DF55B4" w:rsidRDefault="00DF55B4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N</w:t>
            </w:r>
          </w:p>
        </w:tc>
        <w:tc>
          <w:tcPr>
            <w:tcW w:w="0" w:type="auto"/>
          </w:tcPr>
          <w:p w14:paraId="7C1434D1" w14:textId="77777777" w:rsidR="00DF55B4" w:rsidRDefault="00DF55B4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M1b</w:t>
            </w:r>
          </w:p>
        </w:tc>
        <w:tc>
          <w:tcPr>
            <w:tcW w:w="0" w:type="auto"/>
          </w:tcPr>
          <w:p w14:paraId="2E3B1E01" w14:textId="77777777" w:rsidR="00DF55B4" w:rsidRDefault="00DF55B4" w:rsidP="00997D30">
            <w:pPr>
              <w:ind w:right="236"/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GB"/>
              </w:rPr>
              <w:t>Any G</w:t>
            </w:r>
          </w:p>
        </w:tc>
      </w:tr>
    </w:tbl>
    <w:p w14:paraId="743BE99A" w14:textId="77777777" w:rsidR="004350CB" w:rsidRPr="00997D30" w:rsidRDefault="004350CB" w:rsidP="00635E2F">
      <w:pPr>
        <w:rPr>
          <w:rFonts w:ascii="Arial" w:hAnsi="Arial" w:cs="Arial"/>
          <w:sz w:val="22"/>
          <w:szCs w:val="22"/>
          <w:lang w:val="en-US" w:eastAsia="en-GB"/>
        </w:rPr>
      </w:pPr>
      <w:bookmarkStart w:id="0" w:name="_GoBack"/>
      <w:bookmarkEnd w:id="0"/>
    </w:p>
    <w:p w14:paraId="397DBE3E" w14:textId="77777777" w:rsidR="00635E2F" w:rsidRDefault="00635E2F" w:rsidP="00635E2F">
      <w:pPr>
        <w:pStyle w:val="Heading3"/>
        <w:keepNext/>
        <w:keepLines/>
        <w:spacing w:beforeLines="0" w:afterLines="0" w:line="240" w:lineRule="auto"/>
        <w:rPr>
          <w:rFonts w:ascii="Arial" w:hAnsi="Arial" w:cs="Arial"/>
          <w:color w:val="auto"/>
          <w:sz w:val="22"/>
          <w:szCs w:val="22"/>
        </w:rPr>
      </w:pPr>
      <w:bookmarkStart w:id="1" w:name="Stage___Spine_and_Pelvis"/>
    </w:p>
    <w:p w14:paraId="27F82FC2" w14:textId="77777777" w:rsidR="004350CB" w:rsidRDefault="009A7760" w:rsidP="00635E2F">
      <w:pPr>
        <w:pStyle w:val="Heading3"/>
        <w:keepNext/>
        <w:keepLines/>
        <w:spacing w:beforeLines="0" w:afterLines="0" w:line="240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Spine and p</w:t>
      </w:r>
      <w:r w:rsidR="004350CB" w:rsidRPr="00997D30">
        <w:rPr>
          <w:rFonts w:ascii="Arial" w:hAnsi="Arial" w:cs="Arial"/>
          <w:color w:val="auto"/>
          <w:sz w:val="22"/>
          <w:szCs w:val="22"/>
        </w:rPr>
        <w:t>elvis</w:t>
      </w:r>
      <w:bookmarkEnd w:id="1"/>
    </w:p>
    <w:p w14:paraId="774CFA24" w14:textId="77777777" w:rsidR="00285821" w:rsidRPr="00997D30" w:rsidRDefault="00285821" w:rsidP="00635E2F">
      <w:pPr>
        <w:pStyle w:val="Heading3"/>
        <w:keepNext/>
        <w:keepLines/>
        <w:spacing w:beforeLines="0" w:afterLines="0" w:line="240" w:lineRule="auto"/>
        <w:rPr>
          <w:rFonts w:ascii="Arial" w:hAnsi="Arial" w:cs="Arial"/>
          <w:color w:val="auto"/>
          <w:sz w:val="22"/>
          <w:szCs w:val="22"/>
        </w:rPr>
      </w:pPr>
    </w:p>
    <w:p w14:paraId="5F254105" w14:textId="77777777" w:rsidR="004350CB" w:rsidRPr="00997D30" w:rsidRDefault="004350CB" w:rsidP="00635E2F">
      <w:pPr>
        <w:pStyle w:val="Para04"/>
        <w:spacing w:beforeLines="0" w:afterLines="0" w:line="240" w:lineRule="auto"/>
        <w:rPr>
          <w:rFonts w:cs="Arial"/>
          <w:sz w:val="22"/>
          <w:szCs w:val="22"/>
        </w:rPr>
      </w:pPr>
      <w:r w:rsidRPr="00997D30">
        <w:rPr>
          <w:rFonts w:cs="Arial"/>
          <w:sz w:val="22"/>
          <w:szCs w:val="22"/>
        </w:rPr>
        <w:t>There is no stage for bone sarcomas of the spine or pelvis.</w:t>
      </w:r>
    </w:p>
    <w:p w14:paraId="333C4617" w14:textId="77777777" w:rsidR="004350CB" w:rsidRPr="00997D30" w:rsidRDefault="004350CB" w:rsidP="00635E2F">
      <w:pPr>
        <w:rPr>
          <w:rFonts w:ascii="Arial" w:hAnsi="Arial" w:cs="Arial"/>
          <w:sz w:val="22"/>
          <w:szCs w:val="22"/>
          <w:lang w:val="en-US" w:eastAsia="en-GB"/>
        </w:rPr>
      </w:pPr>
    </w:p>
    <w:p w14:paraId="2A59C210" w14:textId="77777777" w:rsidR="004350CB" w:rsidRDefault="004350CB" w:rsidP="00635E2F">
      <w:pPr>
        <w:rPr>
          <w:rFonts w:ascii="Arial" w:hAnsi="Arial" w:cs="Arial"/>
          <w:sz w:val="22"/>
          <w:szCs w:val="22"/>
          <w:lang w:val="en-US" w:eastAsia="en-GB"/>
        </w:rPr>
      </w:pPr>
    </w:p>
    <w:p w14:paraId="7EDB684B" w14:textId="77777777" w:rsidR="00DF55B4" w:rsidRPr="00997D30" w:rsidRDefault="00DF55B4" w:rsidP="00635E2F">
      <w:pPr>
        <w:rPr>
          <w:rFonts w:ascii="Arial" w:hAnsi="Arial" w:cs="Arial"/>
          <w:sz w:val="22"/>
          <w:szCs w:val="22"/>
          <w:lang w:val="en-US" w:eastAsia="en-GB"/>
        </w:rPr>
      </w:pPr>
    </w:p>
    <w:p w14:paraId="5076B442" w14:textId="77777777" w:rsidR="004350CB" w:rsidRPr="009A7760" w:rsidRDefault="004350CB" w:rsidP="00997D30">
      <w:pPr>
        <w:ind w:right="236"/>
        <w:rPr>
          <w:rFonts w:ascii="Arial" w:hAnsi="Arial" w:cs="Arial"/>
          <w:b/>
          <w:lang w:val="en-US" w:eastAsia="en-GB"/>
        </w:rPr>
      </w:pPr>
      <w:r w:rsidRPr="009A7760">
        <w:rPr>
          <w:rFonts w:ascii="Arial" w:hAnsi="Arial" w:cs="Arial"/>
          <w:b/>
          <w:lang w:val="en-US" w:eastAsia="en-GB"/>
        </w:rPr>
        <w:lastRenderedPageBreak/>
        <w:t xml:space="preserve">Residual </w:t>
      </w:r>
      <w:proofErr w:type="spellStart"/>
      <w:r w:rsidRPr="009A7760">
        <w:rPr>
          <w:rFonts w:ascii="Arial" w:hAnsi="Arial" w:cs="Arial"/>
          <w:b/>
          <w:lang w:val="en-US" w:eastAsia="en-GB"/>
        </w:rPr>
        <w:t>tumour</w:t>
      </w:r>
      <w:proofErr w:type="spellEnd"/>
      <w:r w:rsidRPr="009A7760">
        <w:rPr>
          <w:rFonts w:ascii="Arial" w:hAnsi="Arial" w:cs="Arial"/>
          <w:b/>
          <w:lang w:val="en-US" w:eastAsia="en-GB"/>
        </w:rPr>
        <w:t xml:space="preserve"> (R)</w:t>
      </w:r>
    </w:p>
    <w:p w14:paraId="74EE16A6" w14:textId="77777777" w:rsidR="004350CB" w:rsidRPr="00997D30" w:rsidRDefault="004350CB" w:rsidP="00635E2F">
      <w:pPr>
        <w:ind w:right="236"/>
        <w:jc w:val="both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6CE7D3DD" w14:textId="77777777" w:rsidR="004350CB" w:rsidRPr="00997D30" w:rsidRDefault="004350CB" w:rsidP="00635E2F">
      <w:pPr>
        <w:ind w:right="236"/>
        <w:jc w:val="both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An R classification can be used to record the presence/absence of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remaining after curative therapy.</w:t>
      </w:r>
    </w:p>
    <w:p w14:paraId="14B7C557" w14:textId="77777777" w:rsidR="004350CB" w:rsidRPr="00997D30" w:rsidRDefault="004350CB" w:rsidP="00997D30">
      <w:pPr>
        <w:ind w:right="236"/>
        <w:rPr>
          <w:rFonts w:ascii="Arial" w:hAnsi="Arial" w:cs="Arial"/>
          <w:sz w:val="22"/>
          <w:szCs w:val="22"/>
          <w:lang w:val="en-US" w:eastAsia="en-GB"/>
        </w:rPr>
      </w:pPr>
    </w:p>
    <w:p w14:paraId="691A5E6A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RX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Presence of residual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  <w:r w:rsidRPr="00997D30">
        <w:rPr>
          <w:rFonts w:ascii="Arial" w:hAnsi="Arial" w:cs="Arial"/>
          <w:sz w:val="22"/>
          <w:szCs w:val="22"/>
          <w:lang w:val="en-US" w:eastAsia="en-GB"/>
        </w:rPr>
        <w:t xml:space="preserve"> cannot be assessed</w:t>
      </w:r>
    </w:p>
    <w:p w14:paraId="33A4F11C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R0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No residual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</w:p>
    <w:p w14:paraId="59C28887" w14:textId="77777777" w:rsidR="004350CB" w:rsidRPr="00997D30" w:rsidRDefault="004350CB" w:rsidP="00635E2F">
      <w:pPr>
        <w:spacing w:after="120"/>
        <w:ind w:left="993" w:hanging="993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R1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Microscopic residual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</w:p>
    <w:p w14:paraId="16FC7637" w14:textId="77777777" w:rsidR="004350CB" w:rsidRPr="00997D30" w:rsidRDefault="004350CB" w:rsidP="00DF55B4">
      <w:pPr>
        <w:ind w:left="992" w:hanging="992"/>
        <w:rPr>
          <w:rFonts w:ascii="Arial" w:hAnsi="Arial" w:cs="Arial"/>
          <w:sz w:val="22"/>
          <w:szCs w:val="22"/>
          <w:lang w:val="en-US" w:eastAsia="en-GB"/>
        </w:rPr>
      </w:pPr>
      <w:r w:rsidRPr="00997D30">
        <w:rPr>
          <w:rFonts w:ascii="Arial" w:hAnsi="Arial" w:cs="Arial"/>
          <w:sz w:val="22"/>
          <w:szCs w:val="22"/>
          <w:lang w:val="en-US" w:eastAsia="en-GB"/>
        </w:rPr>
        <w:t>R2</w:t>
      </w:r>
      <w:r w:rsidRPr="00997D30">
        <w:rPr>
          <w:rFonts w:ascii="Arial" w:hAnsi="Arial" w:cs="Arial"/>
          <w:sz w:val="22"/>
          <w:szCs w:val="22"/>
          <w:lang w:val="en-US" w:eastAsia="en-GB"/>
        </w:rPr>
        <w:tab/>
        <w:t xml:space="preserve">Macroscopic residual </w:t>
      </w:r>
      <w:proofErr w:type="spellStart"/>
      <w:r w:rsidRPr="00997D30">
        <w:rPr>
          <w:rFonts w:ascii="Arial" w:hAnsi="Arial" w:cs="Arial"/>
          <w:sz w:val="22"/>
          <w:szCs w:val="22"/>
          <w:lang w:val="en-US" w:eastAsia="en-GB"/>
        </w:rPr>
        <w:t>tumour</w:t>
      </w:r>
      <w:proofErr w:type="spellEnd"/>
    </w:p>
    <w:p w14:paraId="6E4FE748" w14:textId="77777777" w:rsidR="0045105E" w:rsidRDefault="0045105E" w:rsidP="00997D30">
      <w:pPr>
        <w:rPr>
          <w:rFonts w:ascii="Arial" w:hAnsi="Arial" w:cs="Arial"/>
          <w:sz w:val="22"/>
          <w:szCs w:val="22"/>
        </w:rPr>
      </w:pPr>
    </w:p>
    <w:p w14:paraId="69C23369" w14:textId="77777777" w:rsidR="00DF55B4" w:rsidRPr="00997D30" w:rsidRDefault="00DF55B4" w:rsidP="00997D30">
      <w:pPr>
        <w:rPr>
          <w:rFonts w:ascii="Arial" w:hAnsi="Arial" w:cs="Arial"/>
          <w:sz w:val="22"/>
          <w:szCs w:val="22"/>
        </w:rPr>
      </w:pPr>
    </w:p>
    <w:p w14:paraId="0A68A40E" w14:textId="77777777" w:rsidR="00A43ADF" w:rsidRPr="009A7760" w:rsidRDefault="009A7760" w:rsidP="00997D30">
      <w:pPr>
        <w:ind w:left="567" w:right="181" w:hanging="567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Reference</w:t>
      </w:r>
    </w:p>
    <w:p w14:paraId="6B6A59F7" w14:textId="77777777" w:rsidR="00A43ADF" w:rsidRPr="00997D30" w:rsidRDefault="00A43ADF" w:rsidP="00997D30">
      <w:pPr>
        <w:ind w:left="567" w:right="181" w:hanging="567"/>
        <w:rPr>
          <w:rFonts w:ascii="Arial" w:eastAsia="Calibri" w:hAnsi="Arial" w:cs="Arial"/>
          <w:b/>
          <w:sz w:val="22"/>
          <w:szCs w:val="22"/>
        </w:rPr>
      </w:pPr>
    </w:p>
    <w:p w14:paraId="6A0A515D" w14:textId="77777777" w:rsidR="00A43ADF" w:rsidRPr="00997D30" w:rsidRDefault="00A43ADF" w:rsidP="00997D30">
      <w:pPr>
        <w:ind w:left="567" w:right="181" w:hanging="567"/>
        <w:rPr>
          <w:rFonts w:ascii="Arial" w:eastAsia="Calibri" w:hAnsi="Arial" w:cs="Arial"/>
          <w:sz w:val="22"/>
          <w:szCs w:val="22"/>
        </w:rPr>
      </w:pPr>
      <w:r w:rsidRPr="00997D30">
        <w:rPr>
          <w:rFonts w:ascii="Arial" w:eastAsia="Calibri" w:hAnsi="Arial" w:cs="Arial"/>
          <w:sz w:val="22"/>
          <w:szCs w:val="22"/>
        </w:rPr>
        <w:t>1</w:t>
      </w:r>
      <w:r w:rsidRPr="00997D30">
        <w:rPr>
          <w:rFonts w:ascii="Arial" w:eastAsia="Calibri" w:hAnsi="Arial" w:cs="Arial"/>
          <w:sz w:val="22"/>
          <w:szCs w:val="22"/>
        </w:rPr>
        <w:tab/>
        <w:t xml:space="preserve">Bone. </w:t>
      </w:r>
      <w:r w:rsidRPr="00997D30">
        <w:rPr>
          <w:rFonts w:ascii="Arial" w:eastAsia="Calibri" w:hAnsi="Arial" w:cs="Arial"/>
          <w:i/>
          <w:sz w:val="22"/>
          <w:szCs w:val="22"/>
        </w:rPr>
        <w:t>In</w:t>
      </w:r>
      <w:r w:rsidRPr="00997D30">
        <w:rPr>
          <w:rFonts w:ascii="Arial" w:eastAsia="Calibri" w:hAnsi="Arial" w:cs="Arial"/>
          <w:sz w:val="22"/>
          <w:szCs w:val="22"/>
        </w:rPr>
        <w:t xml:space="preserve">: Brierley JD, </w:t>
      </w:r>
      <w:proofErr w:type="spellStart"/>
      <w:r w:rsidRPr="00997D30">
        <w:rPr>
          <w:rFonts w:ascii="Arial" w:eastAsia="Calibri" w:hAnsi="Arial" w:cs="Arial"/>
          <w:sz w:val="22"/>
          <w:szCs w:val="22"/>
        </w:rPr>
        <w:t>Gospodarowicz</w:t>
      </w:r>
      <w:proofErr w:type="spellEnd"/>
      <w:r w:rsidRPr="00997D30">
        <w:rPr>
          <w:rFonts w:ascii="Arial" w:eastAsia="Calibri" w:hAnsi="Arial" w:cs="Arial"/>
          <w:sz w:val="22"/>
          <w:szCs w:val="22"/>
        </w:rPr>
        <w:t xml:space="preserve"> MK, Wittekind C (</w:t>
      </w:r>
      <w:r w:rsidR="00DF6DFE">
        <w:rPr>
          <w:rFonts w:ascii="Arial" w:eastAsia="Calibri" w:hAnsi="Arial" w:cs="Arial"/>
          <w:sz w:val="22"/>
          <w:szCs w:val="22"/>
        </w:rPr>
        <w:t>e</w:t>
      </w:r>
      <w:r w:rsidRPr="00997D30">
        <w:rPr>
          <w:rFonts w:ascii="Arial" w:eastAsia="Calibri" w:hAnsi="Arial" w:cs="Arial"/>
          <w:sz w:val="22"/>
          <w:szCs w:val="22"/>
        </w:rPr>
        <w:t xml:space="preserve">ds). </w:t>
      </w:r>
      <w:r w:rsidRPr="00997D30">
        <w:rPr>
          <w:rFonts w:ascii="Arial" w:eastAsia="Calibri" w:hAnsi="Arial" w:cs="Arial"/>
          <w:i/>
          <w:sz w:val="22"/>
          <w:szCs w:val="22"/>
        </w:rPr>
        <w:t xml:space="preserve">TNM Classification of Malignant Tumours </w:t>
      </w:r>
      <w:r w:rsidR="00DF6DFE">
        <w:rPr>
          <w:rFonts w:ascii="Arial" w:eastAsia="Calibri" w:hAnsi="Arial" w:cs="Arial"/>
          <w:i/>
          <w:sz w:val="22"/>
          <w:szCs w:val="22"/>
        </w:rPr>
        <w:t>(</w:t>
      </w:r>
      <w:r w:rsidRPr="00997D30">
        <w:rPr>
          <w:rFonts w:ascii="Arial" w:eastAsia="Calibri" w:hAnsi="Arial" w:cs="Arial"/>
          <w:i/>
          <w:sz w:val="22"/>
          <w:szCs w:val="22"/>
        </w:rPr>
        <w:t>8</w:t>
      </w:r>
      <w:r w:rsidRPr="00997D30">
        <w:rPr>
          <w:rFonts w:ascii="Arial" w:eastAsia="Calibri" w:hAnsi="Arial" w:cs="Arial"/>
          <w:i/>
          <w:sz w:val="22"/>
          <w:szCs w:val="22"/>
          <w:vertAlign w:val="superscript"/>
        </w:rPr>
        <w:t>th</w:t>
      </w:r>
      <w:r w:rsidRPr="00997D30">
        <w:rPr>
          <w:rFonts w:ascii="Arial" w:eastAsia="Calibri" w:hAnsi="Arial" w:cs="Arial"/>
          <w:i/>
          <w:sz w:val="22"/>
          <w:szCs w:val="22"/>
        </w:rPr>
        <w:t xml:space="preserve"> edition</w:t>
      </w:r>
      <w:r w:rsidR="00DF6DFE">
        <w:rPr>
          <w:rFonts w:ascii="Arial" w:eastAsia="Calibri" w:hAnsi="Arial" w:cs="Arial"/>
          <w:i/>
          <w:sz w:val="22"/>
          <w:szCs w:val="22"/>
        </w:rPr>
        <w:t>)</w:t>
      </w:r>
      <w:r w:rsidRPr="00997D30">
        <w:rPr>
          <w:rFonts w:ascii="Arial" w:eastAsia="Calibri" w:hAnsi="Arial" w:cs="Arial"/>
          <w:i/>
          <w:sz w:val="22"/>
          <w:szCs w:val="22"/>
        </w:rPr>
        <w:t>.</w:t>
      </w:r>
      <w:r w:rsidRPr="00997D30">
        <w:rPr>
          <w:rFonts w:ascii="Arial" w:eastAsia="Calibri" w:hAnsi="Arial" w:cs="Arial"/>
          <w:sz w:val="22"/>
          <w:szCs w:val="22"/>
        </w:rPr>
        <w:t xml:space="preserve"> </w:t>
      </w:r>
      <w:r w:rsidR="00DF6DFE">
        <w:rPr>
          <w:rFonts w:ascii="Arial" w:eastAsia="Calibri" w:hAnsi="Arial" w:cs="Arial"/>
          <w:sz w:val="22"/>
          <w:szCs w:val="22"/>
        </w:rPr>
        <w:t xml:space="preserve">Oxford, UK: </w:t>
      </w:r>
      <w:r w:rsidRPr="00997D30">
        <w:rPr>
          <w:rFonts w:ascii="Arial" w:eastAsia="Calibri" w:hAnsi="Arial" w:cs="Arial"/>
          <w:sz w:val="22"/>
          <w:szCs w:val="22"/>
        </w:rPr>
        <w:t>Wiley-Blackwell, 201</w:t>
      </w:r>
      <w:r w:rsidR="00DF6DFE">
        <w:rPr>
          <w:rFonts w:ascii="Arial" w:eastAsia="Calibri" w:hAnsi="Arial" w:cs="Arial"/>
          <w:sz w:val="22"/>
          <w:szCs w:val="22"/>
        </w:rPr>
        <w:t>7</w:t>
      </w:r>
      <w:r w:rsidRPr="00997D30">
        <w:rPr>
          <w:rFonts w:ascii="Arial" w:eastAsia="Calibri" w:hAnsi="Arial" w:cs="Arial"/>
          <w:sz w:val="22"/>
          <w:szCs w:val="22"/>
        </w:rPr>
        <w:t xml:space="preserve">. </w:t>
      </w:r>
    </w:p>
    <w:p w14:paraId="28E047B6" w14:textId="77777777" w:rsidR="00A43ADF" w:rsidRPr="00997D30" w:rsidRDefault="00A43ADF" w:rsidP="00997D30">
      <w:pPr>
        <w:rPr>
          <w:rFonts w:ascii="Arial" w:hAnsi="Arial" w:cs="Arial"/>
          <w:sz w:val="22"/>
          <w:szCs w:val="22"/>
        </w:rPr>
      </w:pPr>
    </w:p>
    <w:sectPr w:rsidR="00A43ADF" w:rsidRPr="00997D30" w:rsidSect="005D582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CB"/>
    <w:rsid w:val="00241F9B"/>
    <w:rsid w:val="00265C38"/>
    <w:rsid w:val="00285821"/>
    <w:rsid w:val="004350CB"/>
    <w:rsid w:val="0045105E"/>
    <w:rsid w:val="005D582F"/>
    <w:rsid w:val="00635E2F"/>
    <w:rsid w:val="00721234"/>
    <w:rsid w:val="00966C2E"/>
    <w:rsid w:val="00997D30"/>
    <w:rsid w:val="009A7760"/>
    <w:rsid w:val="00A43ADF"/>
    <w:rsid w:val="00D313B6"/>
    <w:rsid w:val="00D55D9C"/>
    <w:rsid w:val="00D7589C"/>
    <w:rsid w:val="00D9331F"/>
    <w:rsid w:val="00DB38AD"/>
    <w:rsid w:val="00DF55B4"/>
    <w:rsid w:val="00D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49D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0C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ing3">
    <w:name w:val="heading 3"/>
    <w:basedOn w:val="Normal"/>
    <w:link w:val="Heading3Char"/>
    <w:qFormat/>
    <w:rsid w:val="004350CB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62" w:afterLines="50" w:line="287" w:lineRule="atLeast"/>
      <w:outlineLvl w:val="2"/>
    </w:pPr>
    <w:rPr>
      <w:rFonts w:ascii="Candara" w:eastAsia="Candara" w:hAnsi="Candara" w:cs="Candara"/>
      <w:b/>
      <w:color w:val="0072A0"/>
      <w:sz w:val="23"/>
      <w:szCs w:val="2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0CB"/>
    <w:rPr>
      <w:rFonts w:ascii="Segoe UI" w:eastAsia="Times New Roman" w:hAnsi="Segoe UI" w:cs="Segoe UI"/>
      <w:bCs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4350CB"/>
    <w:rPr>
      <w:rFonts w:ascii="Candara" w:eastAsia="Candara" w:hAnsi="Candara" w:cs="Candara"/>
      <w:b/>
      <w:bCs/>
      <w:color w:val="0072A0"/>
      <w:sz w:val="23"/>
      <w:szCs w:val="23"/>
      <w:lang w:eastAsia="en-GB"/>
    </w:rPr>
  </w:style>
  <w:style w:type="paragraph" w:customStyle="1" w:styleId="Para04">
    <w:name w:val="Para 04"/>
    <w:basedOn w:val="Normal"/>
    <w:qFormat/>
    <w:rsid w:val="004350CB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50" w:afterLines="50" w:line="215" w:lineRule="atLeast"/>
    </w:pPr>
    <w:rPr>
      <w:rFonts w:ascii="Arial" w:eastAsia="Cambria" w:hAnsi="Arial"/>
      <w:bCs w:val="0"/>
      <w:color w:val="000000"/>
      <w:sz w:val="20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635E2F"/>
    <w:pPr>
      <w:ind w:left="720"/>
      <w:contextualSpacing/>
    </w:pPr>
  </w:style>
  <w:style w:type="table" w:styleId="TableGrid">
    <w:name w:val="Table Grid"/>
    <w:basedOn w:val="TableNormal"/>
    <w:uiPriority w:val="39"/>
    <w:rsid w:val="00635E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0C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ing3">
    <w:name w:val="heading 3"/>
    <w:basedOn w:val="Normal"/>
    <w:link w:val="Heading3Char"/>
    <w:qFormat/>
    <w:rsid w:val="004350CB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62" w:afterLines="50" w:line="287" w:lineRule="atLeast"/>
      <w:outlineLvl w:val="2"/>
    </w:pPr>
    <w:rPr>
      <w:rFonts w:ascii="Candara" w:eastAsia="Candara" w:hAnsi="Candara" w:cs="Candara"/>
      <w:b/>
      <w:color w:val="0072A0"/>
      <w:sz w:val="23"/>
      <w:szCs w:val="2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0CB"/>
    <w:rPr>
      <w:rFonts w:ascii="Segoe UI" w:eastAsia="Times New Roman" w:hAnsi="Segoe UI" w:cs="Segoe UI"/>
      <w:bCs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4350CB"/>
    <w:rPr>
      <w:rFonts w:ascii="Candara" w:eastAsia="Candara" w:hAnsi="Candara" w:cs="Candara"/>
      <w:b/>
      <w:bCs/>
      <w:color w:val="0072A0"/>
      <w:sz w:val="23"/>
      <w:szCs w:val="23"/>
      <w:lang w:eastAsia="en-GB"/>
    </w:rPr>
  </w:style>
  <w:style w:type="paragraph" w:customStyle="1" w:styleId="Para04">
    <w:name w:val="Para 04"/>
    <w:basedOn w:val="Normal"/>
    <w:qFormat/>
    <w:rsid w:val="004350CB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50" w:afterLines="50" w:line="215" w:lineRule="atLeast"/>
    </w:pPr>
    <w:rPr>
      <w:rFonts w:ascii="Arial" w:eastAsia="Cambria" w:hAnsi="Arial"/>
      <w:bCs w:val="0"/>
      <w:color w:val="000000"/>
      <w:sz w:val="20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635E2F"/>
    <w:pPr>
      <w:ind w:left="720"/>
      <w:contextualSpacing/>
    </w:pPr>
  </w:style>
  <w:style w:type="table" w:styleId="TableGrid">
    <w:name w:val="Table Grid"/>
    <w:basedOn w:val="TableNormal"/>
    <w:uiPriority w:val="39"/>
    <w:rsid w:val="00635E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FEBC3555-73E6-6646-8FEC-28DF0E6F7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521</Words>
  <Characters>2972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Rous</dc:creator>
  <cp:keywords/>
  <dc:description/>
  <cp:lastModifiedBy>Stacy</cp:lastModifiedBy>
  <cp:revision>5</cp:revision>
  <cp:lastPrinted>2017-10-06T13:44:00Z</cp:lastPrinted>
  <dcterms:created xsi:type="dcterms:W3CDTF">2017-10-18T08:15:00Z</dcterms:created>
  <dcterms:modified xsi:type="dcterms:W3CDTF">2017-10-18T08:24:00Z</dcterms:modified>
</cp:coreProperties>
</file>