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588FAA60" w:rsidR="00D445BA" w:rsidRPr="00077B16" w:rsidRDefault="00D03AF6" w:rsidP="00D03AF6">
      <w:pPr>
        <w:pStyle w:val="Heading2"/>
      </w:pPr>
      <w:r w:rsidRPr="00D03AF6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9"/>
        <w:gridCol w:w="7919"/>
      </w:tblGrid>
      <w:tr w:rsidR="009F45A0" w:rsidRPr="00077B16" w14:paraId="12ECF8AC" w14:textId="77777777" w:rsidTr="00D03AF6">
        <w:trPr>
          <w:trHeight w:val="78"/>
        </w:trPr>
        <w:tc>
          <w:tcPr>
            <w:tcW w:w="1709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919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D03AF6">
        <w:trPr>
          <w:trHeight w:val="469"/>
        </w:trPr>
        <w:tc>
          <w:tcPr>
            <w:tcW w:w="1709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919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D03AF6">
        <w:trPr>
          <w:trHeight w:val="58"/>
        </w:trPr>
        <w:tc>
          <w:tcPr>
            <w:tcW w:w="1709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919" w:type="dxa"/>
          </w:tcPr>
          <w:p w14:paraId="645C2A8E" w14:textId="139537EF" w:rsidR="009F45A0" w:rsidRPr="009349D7" w:rsidRDefault="00D03AF6" w:rsidP="00D03AF6">
            <w:r w:rsidRPr="00D03AF6">
              <w:t>Haematology</w:t>
            </w:r>
          </w:p>
        </w:tc>
      </w:tr>
      <w:tr w:rsidR="00D03AF6" w:rsidRPr="00077B16" w14:paraId="13EFC558" w14:textId="77777777" w:rsidTr="00D03AF6">
        <w:trPr>
          <w:trHeight w:val="469"/>
        </w:trPr>
        <w:tc>
          <w:tcPr>
            <w:tcW w:w="1709" w:type="dxa"/>
          </w:tcPr>
          <w:p w14:paraId="3A56FE41" w14:textId="77777777" w:rsidR="00D03AF6" w:rsidRPr="009349D7" w:rsidRDefault="00D03AF6" w:rsidP="00D03AF6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919" w:type="dxa"/>
          </w:tcPr>
          <w:p w14:paraId="557F6919" w14:textId="3A30790C" w:rsidR="00D03AF6" w:rsidRPr="00D03AF6" w:rsidRDefault="00D03AF6" w:rsidP="00D03AF6">
            <w:r w:rsidRPr="00D03AF6">
              <w:t>An audit of compliance with the British Society for Haematology guideline for the diagnosis and management of monoclonal gammopathy of undetermined significance</w:t>
            </w:r>
          </w:p>
        </w:tc>
      </w:tr>
      <w:tr w:rsidR="00D03AF6" w:rsidRPr="00077B16" w14:paraId="2B750D7A" w14:textId="77777777" w:rsidTr="00D03AF6">
        <w:trPr>
          <w:trHeight w:val="469"/>
        </w:trPr>
        <w:tc>
          <w:tcPr>
            <w:tcW w:w="1709" w:type="dxa"/>
          </w:tcPr>
          <w:p w14:paraId="70726B9A" w14:textId="77777777" w:rsidR="00D03AF6" w:rsidRPr="009349D7" w:rsidRDefault="00D03AF6" w:rsidP="00D03AF6">
            <w:pPr>
              <w:pStyle w:val="Rowheading"/>
            </w:pPr>
            <w:r w:rsidRPr="009349D7">
              <w:t>Background</w:t>
            </w:r>
          </w:p>
        </w:tc>
        <w:tc>
          <w:tcPr>
            <w:tcW w:w="7919" w:type="dxa"/>
          </w:tcPr>
          <w:p w14:paraId="63BED818" w14:textId="69C5DA65" w:rsidR="00D03AF6" w:rsidRPr="009349D7" w:rsidRDefault="00D03AF6" w:rsidP="00D03AF6">
            <w:r w:rsidRPr="006C6A48">
              <w:t xml:space="preserve">The </w:t>
            </w:r>
            <w:r w:rsidRPr="0030299A">
              <w:t xml:space="preserve">British Society for Haematology </w:t>
            </w:r>
            <w:r>
              <w:t>(</w:t>
            </w:r>
            <w:r w:rsidRPr="006C6A48">
              <w:t>BSH</w:t>
            </w:r>
            <w:r>
              <w:t>)</w:t>
            </w:r>
            <w:r w:rsidRPr="006C6A48">
              <w:t xml:space="preserve"> has published guidance on the diagnosis and management o</w:t>
            </w:r>
            <w:r>
              <w:t xml:space="preserve">f the </w:t>
            </w:r>
            <w:r w:rsidRPr="0030299A">
              <w:t>monoclonal gammopathy of undetermined significance (MGUS)</w:t>
            </w:r>
            <w:r>
              <w:t>.</w:t>
            </w:r>
            <w:r w:rsidR="000F35DC" w:rsidRPr="000F35DC">
              <w:rPr>
                <w:vertAlign w:val="superscript"/>
              </w:rPr>
              <w:t>1</w:t>
            </w:r>
            <w:r w:rsidRPr="006C6A48">
              <w:t xml:space="preserve"> This audit will review compliance with some of the main recommendations made.</w:t>
            </w:r>
          </w:p>
        </w:tc>
      </w:tr>
      <w:tr w:rsidR="00D03AF6" w:rsidRPr="00077B16" w14:paraId="0F7C86E3" w14:textId="77777777" w:rsidTr="00D03AF6">
        <w:trPr>
          <w:trHeight w:val="469"/>
        </w:trPr>
        <w:tc>
          <w:tcPr>
            <w:tcW w:w="1709" w:type="dxa"/>
          </w:tcPr>
          <w:p w14:paraId="4492C55B" w14:textId="33019BBE" w:rsidR="00D03AF6" w:rsidRPr="009349D7" w:rsidRDefault="00D03AF6" w:rsidP="00D03AF6">
            <w:pPr>
              <w:pStyle w:val="Rowheading"/>
            </w:pPr>
            <w:r w:rsidRPr="009349D7">
              <w:t xml:space="preserve">Aim </w:t>
            </w:r>
            <w:r>
              <w:t>and</w:t>
            </w:r>
            <w:r w:rsidRPr="009349D7">
              <w:t xml:space="preserve"> objectives</w:t>
            </w:r>
          </w:p>
        </w:tc>
        <w:tc>
          <w:tcPr>
            <w:tcW w:w="7919" w:type="dxa"/>
          </w:tcPr>
          <w:p w14:paraId="7C9570A1" w14:textId="5E2049A1" w:rsidR="00D03AF6" w:rsidRPr="009349D7" w:rsidRDefault="00D03AF6" w:rsidP="00D03AF6">
            <w:r w:rsidRPr="009349D7">
              <w:t xml:space="preserve">This audit template is a tool to </w:t>
            </w:r>
            <w:r>
              <w:t>review</w:t>
            </w:r>
            <w:r w:rsidRPr="009349D7">
              <w:t xml:space="preserve"> whether:</w:t>
            </w:r>
          </w:p>
          <w:p w14:paraId="7B62BE7D" w14:textId="233FE490" w:rsidR="00D03AF6" w:rsidRDefault="00CD3DA6" w:rsidP="00D03AF6">
            <w:pPr>
              <w:pStyle w:val="ListBullet"/>
            </w:pPr>
            <w:r>
              <w:t>n</w:t>
            </w:r>
            <w:r w:rsidR="00D03AF6">
              <w:t xml:space="preserve">ewly diagnosed patients with MGUS are being managed in an appropriate </w:t>
            </w:r>
            <w:proofErr w:type="gramStart"/>
            <w:r w:rsidR="00D03AF6">
              <w:t>way</w:t>
            </w:r>
            <w:proofErr w:type="gramEnd"/>
          </w:p>
          <w:p w14:paraId="4DAA0B33" w14:textId="02843C1A" w:rsidR="00D03AF6" w:rsidRPr="00781C28" w:rsidRDefault="00CD3DA6" w:rsidP="00D03AF6">
            <w:pPr>
              <w:pStyle w:val="ListParagraph"/>
            </w:pPr>
            <w:r>
              <w:t>i</w:t>
            </w:r>
            <w:r w:rsidR="00D03AF6">
              <w:t>nvestigations are being performed appropriately.</w:t>
            </w:r>
          </w:p>
        </w:tc>
      </w:tr>
      <w:tr w:rsidR="00D03AF6" w:rsidRPr="00077B16" w14:paraId="4FF25260" w14:textId="77777777" w:rsidTr="00D03AF6">
        <w:trPr>
          <w:trHeight w:val="119"/>
        </w:trPr>
        <w:tc>
          <w:tcPr>
            <w:tcW w:w="1709" w:type="dxa"/>
          </w:tcPr>
          <w:p w14:paraId="374F6066" w14:textId="00BB8E8B" w:rsidR="00D03AF6" w:rsidRPr="009349D7" w:rsidRDefault="00D03AF6" w:rsidP="00D03AF6">
            <w:pPr>
              <w:pStyle w:val="Rowheading"/>
            </w:pPr>
            <w:r w:rsidRPr="009349D7">
              <w:t xml:space="preserve">Standards </w:t>
            </w:r>
            <w:r>
              <w:t>and</w:t>
            </w:r>
            <w:r w:rsidRPr="009349D7">
              <w:t xml:space="preserve"> criteria</w:t>
            </w:r>
          </w:p>
        </w:tc>
        <w:tc>
          <w:tcPr>
            <w:tcW w:w="7919" w:type="dxa"/>
          </w:tcPr>
          <w:p w14:paraId="2D524C77" w14:textId="77777777" w:rsidR="00D03AF6" w:rsidRDefault="00D03AF6" w:rsidP="00D03AF6">
            <w:r w:rsidRPr="009349D7">
              <w:rPr>
                <w:b/>
              </w:rPr>
              <w:t xml:space="preserve">Criteria range: </w:t>
            </w:r>
            <w:r w:rsidRPr="00D03AF6">
              <w:t>100%, or if not achieved, there is documentation in the case notes that explains the variance.</w:t>
            </w:r>
          </w:p>
          <w:p w14:paraId="6C23CAD5" w14:textId="77777777" w:rsidR="00D03AF6" w:rsidRPr="00D03AF6" w:rsidRDefault="00D03AF6" w:rsidP="00D03AF6">
            <w:pPr>
              <w:rPr>
                <w:b/>
                <w:bCs/>
              </w:rPr>
            </w:pPr>
            <w:r w:rsidRPr="00D03AF6">
              <w:rPr>
                <w:b/>
                <w:bCs/>
              </w:rPr>
              <w:t xml:space="preserve">Management of abnormal results </w:t>
            </w:r>
          </w:p>
          <w:p w14:paraId="3429383A" w14:textId="26025A0F" w:rsidR="00D03AF6" w:rsidRPr="00D03AF6" w:rsidRDefault="00D03AF6" w:rsidP="00D03AF6">
            <w:pPr>
              <w:numPr>
                <w:ilvl w:val="0"/>
                <w:numId w:val="32"/>
              </w:numPr>
            </w:pPr>
            <w:r w:rsidRPr="00D03AF6">
              <w:t>Upon detection of a new M-protein, immunofixation (IFE) should be performed to confirm the type of monoclonal protein and a serum free light chain (FLC) assay should also be carried out to measure FLC levels and calculate the FLC ratio</w:t>
            </w:r>
            <w:r w:rsidR="00CD3DA6">
              <w:t>.</w:t>
            </w:r>
          </w:p>
          <w:p w14:paraId="2C5EE3CF" w14:textId="4345B629" w:rsidR="00D03AF6" w:rsidRPr="00D03AF6" w:rsidRDefault="00D03AF6" w:rsidP="00D03AF6">
            <w:pPr>
              <w:numPr>
                <w:ilvl w:val="0"/>
                <w:numId w:val="32"/>
              </w:numPr>
            </w:pPr>
            <w:r w:rsidRPr="00D03AF6">
              <w:lastRenderedPageBreak/>
              <w:t>Laboratory diagnostic sets should be used to ensure all the correct tests are performed in patients with suspected MGUS or myeloma</w:t>
            </w:r>
            <w:r w:rsidR="00CD3DA6">
              <w:t>.</w:t>
            </w:r>
          </w:p>
          <w:p w14:paraId="4F5654C4" w14:textId="646A2307" w:rsidR="00D03AF6" w:rsidRPr="00D03AF6" w:rsidRDefault="00D03AF6" w:rsidP="00D03AF6">
            <w:pPr>
              <w:numPr>
                <w:ilvl w:val="0"/>
                <w:numId w:val="32"/>
              </w:numPr>
            </w:pPr>
            <w:r w:rsidRPr="00D03AF6">
              <w:t>Appropriate laboratory flagging systems should be in place to alert primary or secondary care physicians to a significantly abnormal result and the appropriate referral pathway</w:t>
            </w:r>
            <w:r w:rsidR="00CD3DA6">
              <w:t>.</w:t>
            </w:r>
          </w:p>
          <w:p w14:paraId="3DFEB181" w14:textId="5CDCDDAD" w:rsidR="00D03AF6" w:rsidRPr="00D03AF6" w:rsidRDefault="00D03AF6" w:rsidP="00D03AF6">
            <w:pPr>
              <w:numPr>
                <w:ilvl w:val="0"/>
                <w:numId w:val="32"/>
              </w:numPr>
            </w:pPr>
            <w:r w:rsidRPr="00D03AF6">
              <w:t>Patients with a positive dipstick for proteinuria should undergo a urine protein to creatinine ratio (PCR) or albumin to creatinine ratio (ACR) test and should be considered for appropriate nephrology referral</w:t>
            </w:r>
            <w:r w:rsidR="00CD3DA6">
              <w:t>.</w:t>
            </w:r>
          </w:p>
          <w:p w14:paraId="6EEC7495" w14:textId="77777777" w:rsidR="00D03AF6" w:rsidRPr="00D03AF6" w:rsidRDefault="00D03AF6" w:rsidP="00D03AF6">
            <w:pPr>
              <w:rPr>
                <w:b/>
                <w:bCs/>
              </w:rPr>
            </w:pPr>
            <w:r w:rsidRPr="00D03AF6">
              <w:rPr>
                <w:b/>
                <w:bCs/>
              </w:rPr>
              <w:t>Risk stratification for MGUS</w:t>
            </w:r>
          </w:p>
          <w:p w14:paraId="0041665A" w14:textId="4FBAA74C" w:rsidR="00D03AF6" w:rsidRPr="00D03AF6" w:rsidRDefault="00D03AF6" w:rsidP="00D03AF6">
            <w:pPr>
              <w:numPr>
                <w:ilvl w:val="0"/>
                <w:numId w:val="33"/>
              </w:numPr>
            </w:pPr>
            <w:r w:rsidRPr="00D03AF6">
              <w:t>Patients with newly diagnosed MGUS should be risk stratified at diagnosis using a validated published model. Models that do not involve a bone marrow (BM) examination are preferable</w:t>
            </w:r>
            <w:r w:rsidR="00CD3DA6">
              <w:t>.</w:t>
            </w:r>
          </w:p>
          <w:p w14:paraId="680045A9" w14:textId="46B0FC4E" w:rsidR="00D03AF6" w:rsidRPr="00D03AF6" w:rsidRDefault="00D03AF6" w:rsidP="00D03AF6">
            <w:pPr>
              <w:numPr>
                <w:ilvl w:val="0"/>
                <w:numId w:val="33"/>
              </w:numPr>
            </w:pPr>
            <w:r w:rsidRPr="00D03AF6">
              <w:t>Risk stratification should take place either in secondary care or in primary care, directed by local guidelines produced in secondary care</w:t>
            </w:r>
            <w:r w:rsidR="00CD3DA6">
              <w:t>.</w:t>
            </w:r>
          </w:p>
          <w:p w14:paraId="6D7D62B9" w14:textId="6DB901EB" w:rsidR="00D03AF6" w:rsidRPr="00D03AF6" w:rsidRDefault="00D03AF6" w:rsidP="00D03AF6">
            <w:pPr>
              <w:numPr>
                <w:ilvl w:val="0"/>
                <w:numId w:val="33"/>
              </w:numPr>
            </w:pPr>
            <w:r w:rsidRPr="00D03AF6">
              <w:t>Newly diagnosed patients with low</w:t>
            </w:r>
            <w:r w:rsidR="00CD3DA6">
              <w:t>-</w:t>
            </w:r>
            <w:r w:rsidRPr="00D03AF6">
              <w:t xml:space="preserve"> or low</w:t>
            </w:r>
            <w:r w:rsidR="00CD3DA6">
              <w:t>–</w:t>
            </w:r>
            <w:r w:rsidRPr="00D03AF6">
              <w:t>intermediate</w:t>
            </w:r>
            <w:r w:rsidR="00CD3DA6">
              <w:t>-</w:t>
            </w:r>
            <w:r w:rsidRPr="00D03AF6">
              <w:t>risk MGUS should not require BM examination or imaging investigations</w:t>
            </w:r>
            <w:r w:rsidR="00CD3DA6">
              <w:t>.</w:t>
            </w:r>
          </w:p>
          <w:p w14:paraId="7E4144DF" w14:textId="0FFFEA5E" w:rsidR="00D03AF6" w:rsidRPr="00D03AF6" w:rsidRDefault="00D03AF6" w:rsidP="00D03AF6">
            <w:pPr>
              <w:numPr>
                <w:ilvl w:val="0"/>
                <w:numId w:val="33"/>
              </w:numPr>
            </w:pPr>
            <w:r w:rsidRPr="00D03AF6">
              <w:t>High</w:t>
            </w:r>
            <w:r w:rsidR="00CD3DA6">
              <w:t>–</w:t>
            </w:r>
            <w:r w:rsidRPr="00D03AF6">
              <w:t>intermediate</w:t>
            </w:r>
            <w:r w:rsidR="00CD3DA6">
              <w:t>-</w:t>
            </w:r>
            <w:r w:rsidRPr="00D03AF6">
              <w:t xml:space="preserve"> or high-risk MGUS patients should undergo further blood and urine tests, a BM </w:t>
            </w:r>
            <w:proofErr w:type="gramStart"/>
            <w:r w:rsidRPr="00D03AF6">
              <w:t>examination</w:t>
            </w:r>
            <w:proofErr w:type="gramEnd"/>
            <w:r w:rsidRPr="00D03AF6">
              <w:t xml:space="preserve"> and a whole-body imaging investigation at diagnosis</w:t>
            </w:r>
            <w:r w:rsidR="00CD3DA6">
              <w:t>.</w:t>
            </w:r>
          </w:p>
          <w:p w14:paraId="28FC0DFB" w14:textId="77777777" w:rsidR="00D03AF6" w:rsidRPr="00D03AF6" w:rsidRDefault="00D03AF6" w:rsidP="00D03AF6">
            <w:pPr>
              <w:rPr>
                <w:b/>
                <w:bCs/>
              </w:rPr>
            </w:pPr>
            <w:r w:rsidRPr="00D03AF6">
              <w:rPr>
                <w:b/>
                <w:bCs/>
              </w:rPr>
              <w:t xml:space="preserve">Information and support for patients diagnosed with </w:t>
            </w:r>
            <w:proofErr w:type="gramStart"/>
            <w:r w:rsidRPr="00D03AF6">
              <w:rPr>
                <w:b/>
                <w:bCs/>
              </w:rPr>
              <w:t>MGUS</w:t>
            </w:r>
            <w:proofErr w:type="gramEnd"/>
            <w:r w:rsidRPr="00D03AF6">
              <w:rPr>
                <w:b/>
                <w:bCs/>
              </w:rPr>
              <w:t xml:space="preserve"> </w:t>
            </w:r>
          </w:p>
          <w:p w14:paraId="68B13078" w14:textId="5203A394" w:rsidR="00D03AF6" w:rsidRPr="00D03AF6" w:rsidRDefault="00D03AF6" w:rsidP="00D03AF6">
            <w:pPr>
              <w:numPr>
                <w:ilvl w:val="0"/>
                <w:numId w:val="34"/>
              </w:numPr>
            </w:pPr>
            <w:r w:rsidRPr="00D03AF6">
              <w:t>Any decision to treat monoclonal gammopathy of clinical significance (MGCS) with systemic chemotherapy should be made by a multi-disciplinary team (MDT) with suitable sub-specialty representation</w:t>
            </w:r>
            <w:r w:rsidR="00CD3DA6">
              <w:t>.</w:t>
            </w:r>
          </w:p>
          <w:p w14:paraId="44E2E830" w14:textId="70A74A5E" w:rsidR="00D03AF6" w:rsidRPr="009349D7" w:rsidRDefault="00D03AF6" w:rsidP="00D03AF6">
            <w:pPr>
              <w:pStyle w:val="ListParagraph"/>
              <w:numPr>
                <w:ilvl w:val="0"/>
                <w:numId w:val="34"/>
              </w:numPr>
            </w:pPr>
            <w:r w:rsidRPr="00D03AF6">
              <w:t>Patients with MGUS should be provided with clear information and psychological support at the time of their diagnosis</w:t>
            </w:r>
            <w:r w:rsidR="00CD3DA6">
              <w:t>.</w:t>
            </w:r>
          </w:p>
        </w:tc>
      </w:tr>
      <w:tr w:rsidR="00D03AF6" w:rsidRPr="00077B16" w14:paraId="14094681" w14:textId="77777777" w:rsidTr="00D03AF6">
        <w:trPr>
          <w:cantSplit/>
          <w:trHeight w:val="469"/>
        </w:trPr>
        <w:tc>
          <w:tcPr>
            <w:tcW w:w="1709" w:type="dxa"/>
          </w:tcPr>
          <w:p w14:paraId="1E4F1E05" w14:textId="77777777" w:rsidR="00D03AF6" w:rsidRPr="009349D7" w:rsidRDefault="00D03AF6" w:rsidP="00D03AF6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D03AF6" w:rsidRPr="009349D7" w:rsidRDefault="00D03AF6" w:rsidP="00D03AF6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19" w:type="dxa"/>
          </w:tcPr>
          <w:p w14:paraId="06E9918F" w14:textId="283000A6" w:rsidR="00D03AF6" w:rsidRPr="009349D7" w:rsidRDefault="00D03AF6" w:rsidP="00D03AF6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</w:p>
          <w:p w14:paraId="78270B78" w14:textId="77777777" w:rsidR="00D03AF6" w:rsidRPr="00D03AF6" w:rsidRDefault="00D03AF6" w:rsidP="00D03AF6">
            <w:pPr>
              <w:rPr>
                <w:bCs/>
              </w:rPr>
            </w:pPr>
            <w:r w:rsidRPr="00D03AF6">
              <w:rPr>
                <w:bCs/>
              </w:rPr>
              <w:t>All patients diagnosed with MGUS in the preceding 12 months up to a maximum of 20 consecutive patients.</w:t>
            </w:r>
          </w:p>
          <w:p w14:paraId="2E47D027" w14:textId="50EB6478" w:rsidR="00D03AF6" w:rsidRPr="009349D7" w:rsidRDefault="00D03AF6" w:rsidP="00D03AF6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D03AF6" w:rsidRPr="00077B16" w14:paraId="4EF29E2B" w14:textId="77777777" w:rsidTr="00CD3DA6">
        <w:trPr>
          <w:trHeight w:val="4667"/>
        </w:trPr>
        <w:tc>
          <w:tcPr>
            <w:tcW w:w="1709" w:type="dxa"/>
          </w:tcPr>
          <w:p w14:paraId="42E290A4" w14:textId="77777777" w:rsidR="00D03AF6" w:rsidRPr="009349D7" w:rsidRDefault="00D03AF6" w:rsidP="00D03AF6">
            <w:pPr>
              <w:pStyle w:val="Rowheading"/>
            </w:pPr>
            <w:r w:rsidRPr="009349D7">
              <w:lastRenderedPageBreak/>
              <w:t>Results</w:t>
            </w:r>
          </w:p>
        </w:tc>
        <w:tc>
          <w:tcPr>
            <w:tcW w:w="7919" w:type="dxa"/>
          </w:tcPr>
          <w:p w14:paraId="08D3ABE3" w14:textId="77777777" w:rsidR="00D03AF6" w:rsidRPr="009349D7" w:rsidRDefault="00D03AF6" w:rsidP="00D03AF6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D03AF6" w:rsidRPr="009349D7" w:rsidRDefault="00D03AF6" w:rsidP="00D03AF6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6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57"/>
              <w:gridCol w:w="1134"/>
              <w:gridCol w:w="1275"/>
              <w:gridCol w:w="1427"/>
            </w:tblGrid>
            <w:tr w:rsidR="00D03AF6" w:rsidRPr="00C80194" w14:paraId="541B99B0" w14:textId="77777777" w:rsidTr="00D03AF6">
              <w:tc>
                <w:tcPr>
                  <w:tcW w:w="3859" w:type="dxa"/>
                </w:tcPr>
                <w:p w14:paraId="26A91965" w14:textId="77777777" w:rsidR="00D03AF6" w:rsidRPr="00BC0683" w:rsidRDefault="00D03AF6" w:rsidP="00D03AF6">
                  <w:pPr>
                    <w:pStyle w:val="Tablecolumnheading"/>
                    <w:rPr>
                      <w:sz w:val="22"/>
                      <w:szCs w:val="22"/>
                    </w:rPr>
                  </w:pPr>
                  <w:r w:rsidRPr="00BC0683">
                    <w:rPr>
                      <w:sz w:val="22"/>
                      <w:szCs w:val="22"/>
                    </w:rPr>
                    <w:t>Investigation</w:t>
                  </w:r>
                </w:p>
              </w:tc>
              <w:tc>
                <w:tcPr>
                  <w:tcW w:w="1134" w:type="dxa"/>
                </w:tcPr>
                <w:p w14:paraId="4040022C" w14:textId="77777777" w:rsidR="00D03AF6" w:rsidRPr="00BC0683" w:rsidRDefault="00D03AF6" w:rsidP="00D03AF6">
                  <w:pPr>
                    <w:pStyle w:val="Tablecolumnheading"/>
                    <w:rPr>
                      <w:sz w:val="22"/>
                      <w:szCs w:val="22"/>
                    </w:rPr>
                  </w:pPr>
                  <w:r w:rsidRPr="00BC0683">
                    <w:rPr>
                      <w:sz w:val="22"/>
                      <w:szCs w:val="22"/>
                    </w:rPr>
                    <w:t>No. audited</w:t>
                  </w:r>
                </w:p>
              </w:tc>
              <w:tc>
                <w:tcPr>
                  <w:tcW w:w="1275" w:type="dxa"/>
                </w:tcPr>
                <w:p w14:paraId="72A01A96" w14:textId="77777777" w:rsidR="00D03AF6" w:rsidRPr="00BC0683" w:rsidRDefault="00D03AF6" w:rsidP="00D03AF6">
                  <w:pPr>
                    <w:pStyle w:val="Tablecolumnheading"/>
                    <w:rPr>
                      <w:sz w:val="22"/>
                      <w:szCs w:val="22"/>
                    </w:rPr>
                  </w:pPr>
                  <w:r w:rsidRPr="00BC0683">
                    <w:rPr>
                      <w:sz w:val="22"/>
                      <w:szCs w:val="22"/>
                    </w:rPr>
                    <w:t>No. compliant</w:t>
                  </w:r>
                </w:p>
              </w:tc>
              <w:tc>
                <w:tcPr>
                  <w:tcW w:w="1425" w:type="dxa"/>
                </w:tcPr>
                <w:p w14:paraId="0328ED13" w14:textId="77777777" w:rsidR="00D03AF6" w:rsidRPr="00BC0683" w:rsidRDefault="00D03AF6" w:rsidP="00D03AF6">
                  <w:pPr>
                    <w:pStyle w:val="Tablecolumnheading"/>
                    <w:rPr>
                      <w:sz w:val="22"/>
                      <w:szCs w:val="22"/>
                    </w:rPr>
                  </w:pPr>
                  <w:r w:rsidRPr="00BC0683">
                    <w:rPr>
                      <w:sz w:val="22"/>
                      <w:szCs w:val="22"/>
                    </w:rPr>
                    <w:t>% compliance</w:t>
                  </w:r>
                </w:p>
              </w:tc>
            </w:tr>
            <w:tr w:rsidR="00D03AF6" w:rsidRPr="00C80194" w14:paraId="5E189318" w14:textId="77777777" w:rsidTr="00D03AF6">
              <w:tc>
                <w:tcPr>
                  <w:tcW w:w="7693" w:type="dxa"/>
                  <w:gridSpan w:val="4"/>
                  <w:shd w:val="clear" w:color="auto" w:fill="D9D9D9"/>
                </w:tcPr>
                <w:p w14:paraId="41E3E016" w14:textId="77777777" w:rsidR="00D03AF6" w:rsidRPr="00437B9A" w:rsidRDefault="00D03AF6" w:rsidP="00D03AF6">
                  <w:pPr>
                    <w:pStyle w:val="Tabletext"/>
                  </w:pPr>
                  <w:r w:rsidRPr="00437B9A">
                    <w:t xml:space="preserve">Management of abnormal results </w:t>
                  </w:r>
                </w:p>
              </w:tc>
            </w:tr>
            <w:tr w:rsidR="00D03AF6" w:rsidRPr="00C80194" w14:paraId="735F5D6A" w14:textId="77777777" w:rsidTr="00D03AF6">
              <w:tc>
                <w:tcPr>
                  <w:tcW w:w="3859" w:type="dxa"/>
                </w:tcPr>
                <w:p w14:paraId="6FCFD728" w14:textId="77777777" w:rsidR="00D03AF6" w:rsidRPr="009E1686" w:rsidRDefault="00D03AF6" w:rsidP="00D03AF6">
                  <w:pPr>
                    <w:pStyle w:val="Tabletext"/>
                  </w:pPr>
                  <w:r>
                    <w:t>Upon detection of a</w:t>
                  </w:r>
                  <w:r w:rsidRPr="00F16E58">
                    <w:t xml:space="preserve"> new M-protein, IFE </w:t>
                  </w:r>
                  <w:r>
                    <w:t xml:space="preserve">was </w:t>
                  </w:r>
                  <w:r w:rsidRPr="00F16E58">
                    <w:t>performed to confirm the type of monoclonal protein</w:t>
                  </w:r>
                  <w:r>
                    <w:t>,</w:t>
                  </w:r>
                  <w:r w:rsidRPr="00F16E58">
                    <w:t xml:space="preserve"> and a serum FLC assay </w:t>
                  </w:r>
                  <w:r>
                    <w:t xml:space="preserve">was </w:t>
                  </w:r>
                  <w:r w:rsidRPr="00F16E58">
                    <w:t>carried out to measure FLC levels and calculate the FLC ratio</w:t>
                  </w:r>
                </w:p>
              </w:tc>
              <w:tc>
                <w:tcPr>
                  <w:tcW w:w="1134" w:type="dxa"/>
                </w:tcPr>
                <w:p w14:paraId="137E18C3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6788B4CC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028CECA6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1DA3C096" w14:textId="77777777" w:rsidTr="00D03AF6">
              <w:tc>
                <w:tcPr>
                  <w:tcW w:w="3859" w:type="dxa"/>
                </w:tcPr>
                <w:p w14:paraId="2C8FA5CB" w14:textId="77777777" w:rsidR="00D03AF6" w:rsidRPr="009E1686" w:rsidRDefault="00D03AF6" w:rsidP="00D03AF6">
                  <w:pPr>
                    <w:pStyle w:val="Tabletext"/>
                  </w:pPr>
                  <w:r w:rsidRPr="006962F9">
                    <w:t xml:space="preserve">Laboratory diagnostic sets </w:t>
                  </w:r>
                  <w:r>
                    <w:t>were</w:t>
                  </w:r>
                  <w:r>
                    <w:rPr>
                      <w:rStyle w:val="CommentReference"/>
                    </w:rPr>
                    <w:t xml:space="preserve"> </w:t>
                  </w:r>
                  <w:r>
                    <w:t>us</w:t>
                  </w:r>
                  <w:r w:rsidRPr="006962F9">
                    <w:t xml:space="preserve">ed to ensure all the correct tests </w:t>
                  </w:r>
                  <w:r>
                    <w:t>were</w:t>
                  </w:r>
                  <w:r w:rsidRPr="006962F9">
                    <w:t xml:space="preserve"> performed in patients with suspected MGUS or myeloma</w:t>
                  </w:r>
                </w:p>
              </w:tc>
              <w:tc>
                <w:tcPr>
                  <w:tcW w:w="1134" w:type="dxa"/>
                </w:tcPr>
                <w:p w14:paraId="1DD83816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0AEC6795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2A4E6C76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2C7B9CB8" w14:textId="77777777" w:rsidTr="00D03AF6">
              <w:tc>
                <w:tcPr>
                  <w:tcW w:w="3859" w:type="dxa"/>
                </w:tcPr>
                <w:p w14:paraId="2E200C8A" w14:textId="77777777" w:rsidR="00D03AF6" w:rsidRPr="000427C8" w:rsidRDefault="00D03AF6" w:rsidP="00D03AF6">
                  <w:pPr>
                    <w:pStyle w:val="Tabletext"/>
                  </w:pPr>
                  <w:r>
                    <w:t>Appropriate l</w:t>
                  </w:r>
                  <w:r w:rsidRPr="00C164F8">
                    <w:t xml:space="preserve">aboratory flagging systems </w:t>
                  </w:r>
                  <w:r>
                    <w:t>were in place</w:t>
                  </w:r>
                  <w:r w:rsidRPr="00C164F8">
                    <w:t xml:space="preserve"> to alert primary or secondary care physicians to a significantly abnormal result and the appropriate referral pathway</w:t>
                  </w:r>
                </w:p>
              </w:tc>
              <w:tc>
                <w:tcPr>
                  <w:tcW w:w="1134" w:type="dxa"/>
                </w:tcPr>
                <w:p w14:paraId="1E8DE001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43D73FFC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33BE742C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3AF6A8BD" w14:textId="77777777" w:rsidTr="00D03AF6">
              <w:tc>
                <w:tcPr>
                  <w:tcW w:w="3859" w:type="dxa"/>
                </w:tcPr>
                <w:p w14:paraId="1D38056E" w14:textId="77777777" w:rsidR="00D03AF6" w:rsidRDefault="00D03AF6" w:rsidP="00D03AF6">
                  <w:pPr>
                    <w:pStyle w:val="Tabletext"/>
                  </w:pPr>
                  <w:r w:rsidRPr="004F2DAD">
                    <w:t xml:space="preserve">Patients showing signs of renal impairment </w:t>
                  </w:r>
                  <w:r>
                    <w:t>underwent</w:t>
                  </w:r>
                  <w:r w:rsidRPr="004F2DAD">
                    <w:t xml:space="preserve"> a</w:t>
                  </w:r>
                  <w:r>
                    <w:t xml:space="preserve"> PCR or</w:t>
                  </w:r>
                  <w:r w:rsidRPr="004F2DAD">
                    <w:t xml:space="preserve"> ACR test and </w:t>
                  </w:r>
                  <w:r>
                    <w:t>were</w:t>
                  </w:r>
                  <w:r w:rsidRPr="004F2DAD">
                    <w:t xml:space="preserve"> considered for appropriate referral</w:t>
                  </w:r>
                </w:p>
              </w:tc>
              <w:tc>
                <w:tcPr>
                  <w:tcW w:w="1134" w:type="dxa"/>
                </w:tcPr>
                <w:p w14:paraId="0935047D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51F9D360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782EEAE7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51777961" w14:textId="77777777" w:rsidTr="00D03AF6">
              <w:tc>
                <w:tcPr>
                  <w:tcW w:w="7693" w:type="dxa"/>
                  <w:gridSpan w:val="4"/>
                  <w:shd w:val="clear" w:color="auto" w:fill="D9D9D9"/>
                </w:tcPr>
                <w:p w14:paraId="23B42837" w14:textId="77777777" w:rsidR="00D03AF6" w:rsidRPr="00C80194" w:rsidRDefault="00D03AF6" w:rsidP="00D03AF6">
                  <w:pPr>
                    <w:pStyle w:val="Tabletext"/>
                  </w:pPr>
                  <w:r w:rsidRPr="00437B9A">
                    <w:t>Risk stratification for MGUS</w:t>
                  </w:r>
                </w:p>
              </w:tc>
            </w:tr>
            <w:tr w:rsidR="00D03AF6" w:rsidRPr="00C80194" w14:paraId="004BEF4A" w14:textId="77777777" w:rsidTr="00D03AF6">
              <w:tc>
                <w:tcPr>
                  <w:tcW w:w="3859" w:type="dxa"/>
                </w:tcPr>
                <w:p w14:paraId="6F786F4D" w14:textId="77777777" w:rsidR="00D03AF6" w:rsidRPr="000F4529" w:rsidRDefault="00D03AF6" w:rsidP="00D03AF6">
                  <w:pPr>
                    <w:pStyle w:val="Tabletext"/>
                  </w:pPr>
                  <w:r w:rsidRPr="00C164F8">
                    <w:t xml:space="preserve">Patients with newly diagnosed MGUS </w:t>
                  </w:r>
                  <w:r>
                    <w:t>were</w:t>
                  </w:r>
                  <w:r w:rsidRPr="00C164F8">
                    <w:t xml:space="preserve"> risk stratified at diagnosis using a validated published model</w:t>
                  </w:r>
                </w:p>
              </w:tc>
              <w:tc>
                <w:tcPr>
                  <w:tcW w:w="1134" w:type="dxa"/>
                </w:tcPr>
                <w:p w14:paraId="7A52E0D8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5888B2AE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0F3BB2ED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7816FCFA" w14:textId="77777777" w:rsidTr="00D03AF6">
              <w:tc>
                <w:tcPr>
                  <w:tcW w:w="3859" w:type="dxa"/>
                </w:tcPr>
                <w:p w14:paraId="7C279E67" w14:textId="77777777" w:rsidR="00D03AF6" w:rsidRPr="006962F9" w:rsidRDefault="00D03AF6" w:rsidP="00D03AF6">
                  <w:pPr>
                    <w:pStyle w:val="Tabletext"/>
                  </w:pPr>
                  <w:r w:rsidRPr="00C164F8">
                    <w:t xml:space="preserve">Risk stratification </w:t>
                  </w:r>
                  <w:r>
                    <w:t>took</w:t>
                  </w:r>
                  <w:r w:rsidRPr="00C164F8">
                    <w:t xml:space="preserve"> place either in secondary care or in primary care, directed by local guidelines produced in secondary care</w:t>
                  </w:r>
                </w:p>
              </w:tc>
              <w:tc>
                <w:tcPr>
                  <w:tcW w:w="1134" w:type="dxa"/>
                </w:tcPr>
                <w:p w14:paraId="16F4E24A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4B99DEF7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690B7867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589FAA7D" w14:textId="77777777" w:rsidTr="00D03AF6">
              <w:tc>
                <w:tcPr>
                  <w:tcW w:w="3859" w:type="dxa"/>
                </w:tcPr>
                <w:p w14:paraId="24F402CD" w14:textId="62848B2D" w:rsidR="00D03AF6" w:rsidRPr="000F4529" w:rsidRDefault="00CD3DA6" w:rsidP="00CD3DA6">
                  <w:pPr>
                    <w:pStyle w:val="Tabletext"/>
                  </w:pPr>
                  <w:r w:rsidRPr="00CD3DA6">
                    <w:t>Newly diagnosed patients with low- or low</w:t>
                  </w:r>
                  <w:r w:rsidRPr="00CD3DA6">
                    <w:rPr>
                      <w:vertAlign w:val="subscript"/>
                    </w:rPr>
                    <w:t>–</w:t>
                  </w:r>
                  <w:r w:rsidRPr="00CD3DA6">
                    <w:t>intermediate-risk MGUS did not undergo BM examination or imaging investigations</w:t>
                  </w:r>
                </w:p>
              </w:tc>
              <w:tc>
                <w:tcPr>
                  <w:tcW w:w="1134" w:type="dxa"/>
                </w:tcPr>
                <w:p w14:paraId="401C2F3D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144D1CEA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6D5B0A1B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6D68C038" w14:textId="77777777" w:rsidTr="00D03AF6">
              <w:tc>
                <w:tcPr>
                  <w:tcW w:w="3859" w:type="dxa"/>
                </w:tcPr>
                <w:p w14:paraId="005C60D8" w14:textId="6627E9B1" w:rsidR="00D03AF6" w:rsidRPr="000F4529" w:rsidRDefault="00CD3DA6" w:rsidP="00CD3DA6">
                  <w:pPr>
                    <w:pStyle w:val="Tabletext"/>
                  </w:pPr>
                  <w:r w:rsidRPr="00CD3DA6">
                    <w:lastRenderedPageBreak/>
                    <w:t xml:space="preserve">Newly diagnosed patients with MGUS underwent blood and urine tests to enable risk stratification using the Mayo criteria </w:t>
                  </w:r>
                </w:p>
              </w:tc>
              <w:tc>
                <w:tcPr>
                  <w:tcW w:w="1134" w:type="dxa"/>
                </w:tcPr>
                <w:p w14:paraId="72FBF35E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46B44021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0C0D1845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16E4187A" w14:textId="77777777" w:rsidTr="00D03AF6">
              <w:tc>
                <w:tcPr>
                  <w:tcW w:w="7693" w:type="dxa"/>
                  <w:gridSpan w:val="4"/>
                  <w:shd w:val="clear" w:color="auto" w:fill="D9D9D9"/>
                </w:tcPr>
                <w:p w14:paraId="66A3042D" w14:textId="77777777" w:rsidR="00D03AF6" w:rsidRPr="008C3F07" w:rsidRDefault="00D03AF6" w:rsidP="00D03AF6">
                  <w:pPr>
                    <w:pStyle w:val="Tabletext"/>
                  </w:pPr>
                  <w:r w:rsidRPr="008C3F07">
                    <w:t>Information and support for patients diagnosed with MGUS</w:t>
                  </w:r>
                </w:p>
              </w:tc>
            </w:tr>
            <w:tr w:rsidR="00D03AF6" w:rsidRPr="00C80194" w14:paraId="61915A19" w14:textId="77777777" w:rsidTr="00D03AF6">
              <w:tc>
                <w:tcPr>
                  <w:tcW w:w="3859" w:type="dxa"/>
                </w:tcPr>
                <w:p w14:paraId="478BC9E6" w14:textId="77777777" w:rsidR="00D03AF6" w:rsidRPr="00C843B5" w:rsidRDefault="00D03AF6" w:rsidP="00D03AF6">
                  <w:pPr>
                    <w:pStyle w:val="Tabletext"/>
                  </w:pPr>
                  <w:r w:rsidRPr="00C164F8">
                    <w:t xml:space="preserve">Any decision to treat MGCS with systemic chemotherapy </w:t>
                  </w:r>
                  <w:r>
                    <w:t>was</w:t>
                  </w:r>
                  <w:r w:rsidRPr="00C164F8">
                    <w:t xml:space="preserve"> made by an MDT with suitable sub-specialty representation</w:t>
                  </w:r>
                </w:p>
              </w:tc>
              <w:tc>
                <w:tcPr>
                  <w:tcW w:w="1134" w:type="dxa"/>
                </w:tcPr>
                <w:p w14:paraId="58CD64A1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5A9A59CA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6E738A66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  <w:tr w:rsidR="00D03AF6" w:rsidRPr="00C80194" w14:paraId="6E676E23" w14:textId="77777777" w:rsidTr="00D03AF6">
              <w:tc>
                <w:tcPr>
                  <w:tcW w:w="3859" w:type="dxa"/>
                </w:tcPr>
                <w:p w14:paraId="203A526B" w14:textId="77777777" w:rsidR="00D03AF6" w:rsidRPr="00C164F8" w:rsidRDefault="00D03AF6" w:rsidP="00D03AF6">
                  <w:pPr>
                    <w:pStyle w:val="Tabletext"/>
                  </w:pPr>
                  <w:r>
                    <w:t>P</w:t>
                  </w:r>
                  <w:r w:rsidRPr="00C164F8">
                    <w:t xml:space="preserve">atients with MGUS </w:t>
                  </w:r>
                  <w:r>
                    <w:t>were provided with</w:t>
                  </w:r>
                  <w:r w:rsidRPr="00C164F8">
                    <w:t xml:space="preserve"> clear information and psychological support at the time of </w:t>
                  </w:r>
                  <w:r>
                    <w:t>t</w:t>
                  </w:r>
                  <w:r w:rsidRPr="00C164F8">
                    <w:t xml:space="preserve">heir diagnosis </w:t>
                  </w:r>
                </w:p>
              </w:tc>
              <w:tc>
                <w:tcPr>
                  <w:tcW w:w="1134" w:type="dxa"/>
                </w:tcPr>
                <w:p w14:paraId="78788478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275" w:type="dxa"/>
                </w:tcPr>
                <w:p w14:paraId="427EF93D" w14:textId="77777777" w:rsidR="00D03AF6" w:rsidRPr="00C80194" w:rsidRDefault="00D03AF6" w:rsidP="00D03AF6">
                  <w:pPr>
                    <w:pStyle w:val="Tabletext"/>
                  </w:pPr>
                </w:p>
              </w:tc>
              <w:tc>
                <w:tcPr>
                  <w:tcW w:w="1425" w:type="dxa"/>
                </w:tcPr>
                <w:p w14:paraId="1C2C6690" w14:textId="77777777" w:rsidR="00D03AF6" w:rsidRPr="00C80194" w:rsidRDefault="00D03AF6" w:rsidP="00D03AF6">
                  <w:pPr>
                    <w:pStyle w:val="Tabletext"/>
                  </w:pPr>
                </w:p>
              </w:tc>
            </w:tr>
          </w:tbl>
          <w:p w14:paraId="4C21FCF8" w14:textId="5FE6C934" w:rsidR="00D03AF6" w:rsidRPr="009349D7" w:rsidRDefault="00D03AF6" w:rsidP="00D03AF6">
            <w:pPr>
              <w:rPr>
                <w:rFonts w:cs="Arial"/>
                <w:b/>
                <w:szCs w:val="24"/>
              </w:rPr>
            </w:pPr>
          </w:p>
        </w:tc>
      </w:tr>
      <w:tr w:rsidR="00D03AF6" w:rsidRPr="00077B16" w14:paraId="0B06E3F0" w14:textId="77777777" w:rsidTr="00D03AF6">
        <w:trPr>
          <w:trHeight w:val="469"/>
        </w:trPr>
        <w:tc>
          <w:tcPr>
            <w:tcW w:w="1709" w:type="dxa"/>
          </w:tcPr>
          <w:p w14:paraId="4CAABCEC" w14:textId="77777777" w:rsidR="00D03AF6" w:rsidRPr="009349D7" w:rsidRDefault="00D03AF6" w:rsidP="00D03AF6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919" w:type="dxa"/>
          </w:tcPr>
          <w:p w14:paraId="54F6617D" w14:textId="2A569065" w:rsidR="00D03AF6" w:rsidRPr="009349D7" w:rsidRDefault="00D03AF6" w:rsidP="00D03AF6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03AF6" w:rsidRPr="00077B16" w14:paraId="5BF6DC79" w14:textId="77777777" w:rsidTr="00D03AF6">
        <w:trPr>
          <w:trHeight w:val="58"/>
        </w:trPr>
        <w:tc>
          <w:tcPr>
            <w:tcW w:w="1709" w:type="dxa"/>
          </w:tcPr>
          <w:p w14:paraId="6ED49695" w14:textId="16C37E4E" w:rsidR="00D03AF6" w:rsidRPr="009349D7" w:rsidRDefault="00D03AF6" w:rsidP="00D03AF6">
            <w:pPr>
              <w:pStyle w:val="Rowheading"/>
              <w:ind w:left="-57"/>
            </w:pPr>
            <w:r w:rsidRPr="009349D7">
              <w:t>Recommend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919" w:type="dxa"/>
          </w:tcPr>
          <w:p w14:paraId="1C0DE42A" w14:textId="3CF7AC3E" w:rsidR="00D03AF6" w:rsidRPr="009349D7" w:rsidRDefault="00D03AF6" w:rsidP="00D03AF6">
            <w:r w:rsidRPr="00D03AF6">
              <w:t>How could the diagnosis and early management of MGUS patients be improved based on the results of this audit?</w:t>
            </w:r>
          </w:p>
        </w:tc>
      </w:tr>
      <w:tr w:rsidR="00D03AF6" w:rsidRPr="00077B16" w14:paraId="3AB83BB0" w14:textId="77777777" w:rsidTr="00D03AF6">
        <w:trPr>
          <w:trHeight w:val="58"/>
        </w:trPr>
        <w:tc>
          <w:tcPr>
            <w:tcW w:w="1709" w:type="dxa"/>
          </w:tcPr>
          <w:p w14:paraId="7B1DBC85" w14:textId="1FF56588" w:rsidR="00D03AF6" w:rsidRPr="009349D7" w:rsidRDefault="00D03AF6" w:rsidP="00D03AF6">
            <w:pPr>
              <w:pStyle w:val="Rowheading"/>
            </w:pPr>
            <w:r w:rsidRPr="009349D7">
              <w:t>Action plan</w:t>
            </w:r>
          </w:p>
        </w:tc>
        <w:tc>
          <w:tcPr>
            <w:tcW w:w="7919" w:type="dxa"/>
          </w:tcPr>
          <w:p w14:paraId="3ED634E6" w14:textId="3A02274B" w:rsidR="00D03AF6" w:rsidRPr="009349D7" w:rsidRDefault="00D03AF6" w:rsidP="00D03AF6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D03AF6" w:rsidRPr="00077B16" w14:paraId="2456F3A2" w14:textId="77777777" w:rsidTr="00D03AF6">
        <w:trPr>
          <w:trHeight w:val="58"/>
        </w:trPr>
        <w:tc>
          <w:tcPr>
            <w:tcW w:w="1709" w:type="dxa"/>
          </w:tcPr>
          <w:p w14:paraId="2874F728" w14:textId="77777777" w:rsidR="00D03AF6" w:rsidRPr="009349D7" w:rsidRDefault="00D03AF6" w:rsidP="00D03AF6">
            <w:pPr>
              <w:pStyle w:val="Rowheading"/>
            </w:pPr>
            <w:r w:rsidRPr="009349D7">
              <w:t>Re-audit date</w:t>
            </w:r>
          </w:p>
        </w:tc>
        <w:tc>
          <w:tcPr>
            <w:tcW w:w="7919" w:type="dxa"/>
          </w:tcPr>
          <w:p w14:paraId="2A3A9445" w14:textId="77777777" w:rsidR="00D03AF6" w:rsidRPr="009349D7" w:rsidRDefault="00D03AF6" w:rsidP="00D03AF6">
            <w:pPr>
              <w:pStyle w:val="Bodytextredfont"/>
            </w:pPr>
            <w:r w:rsidRPr="009349D7">
              <w:t>(To be completed by the author)</w:t>
            </w:r>
          </w:p>
        </w:tc>
      </w:tr>
      <w:tr w:rsidR="00D03AF6" w:rsidRPr="00077B16" w14:paraId="7E5BF0AE" w14:textId="77777777" w:rsidTr="00D03AF6">
        <w:trPr>
          <w:trHeight w:val="469"/>
        </w:trPr>
        <w:tc>
          <w:tcPr>
            <w:tcW w:w="1709" w:type="dxa"/>
          </w:tcPr>
          <w:p w14:paraId="6DDCB30D" w14:textId="4FB705CA" w:rsidR="00D03AF6" w:rsidRPr="009349D7" w:rsidRDefault="00D03AF6" w:rsidP="00D03AF6">
            <w:pPr>
              <w:pStyle w:val="Rowheading"/>
            </w:pPr>
            <w:r w:rsidRPr="009349D7">
              <w:t>References</w:t>
            </w:r>
          </w:p>
          <w:p w14:paraId="36CD5C27" w14:textId="16D11343" w:rsidR="00D03AF6" w:rsidRPr="009349D7" w:rsidRDefault="00D03AF6" w:rsidP="00D03AF6">
            <w:pPr>
              <w:pStyle w:val="Rowheading"/>
            </w:pPr>
          </w:p>
        </w:tc>
        <w:tc>
          <w:tcPr>
            <w:tcW w:w="7919" w:type="dxa"/>
          </w:tcPr>
          <w:p w14:paraId="7F5516E3" w14:textId="6D9276B3" w:rsidR="00D03AF6" w:rsidRPr="00876760" w:rsidRDefault="00D03AF6" w:rsidP="00D03AF6">
            <w:pPr>
              <w:pStyle w:val="Numberedlist"/>
            </w:pPr>
            <w:r w:rsidRPr="00BC0683">
              <w:rPr>
                <w:shd w:val="clear" w:color="auto" w:fill="FFFFFF"/>
              </w:rPr>
              <w:t xml:space="preserve">Stern S, Chaudhuri S, Drayson M, Henshaw S, </w:t>
            </w:r>
            <w:proofErr w:type="spellStart"/>
            <w:r w:rsidRPr="00BC0683">
              <w:rPr>
                <w:shd w:val="clear" w:color="auto" w:fill="FFFFFF"/>
              </w:rPr>
              <w:t>Karunanithi</w:t>
            </w:r>
            <w:proofErr w:type="spellEnd"/>
            <w:r w:rsidRPr="00BC0683">
              <w:rPr>
                <w:shd w:val="clear" w:color="auto" w:fill="FFFFFF"/>
              </w:rPr>
              <w:t xml:space="preserve"> K, Willis F</w:t>
            </w:r>
            <w:r w:rsidRPr="00FF1B04">
              <w:rPr>
                <w:shd w:val="clear" w:color="auto" w:fill="FFFFFF"/>
              </w:rPr>
              <w:t>. </w:t>
            </w:r>
            <w:proofErr w:type="gramStart"/>
            <w:r w:rsidRPr="00FF1B04">
              <w:rPr>
                <w:shd w:val="clear" w:color="auto" w:fill="FFFFFF"/>
              </w:rPr>
              <w:t>Investigation</w:t>
            </w:r>
            <w:proofErr w:type="gramEnd"/>
            <w:r w:rsidRPr="00FF1B04">
              <w:rPr>
                <w:shd w:val="clear" w:color="auto" w:fill="FFFFFF"/>
              </w:rPr>
              <w:t xml:space="preserve"> and management of the monoclonal gammopathy of undetermined significance: A British Society for Haematology Good Practice Paper. </w:t>
            </w:r>
            <w:r w:rsidRPr="00FF1B04">
              <w:rPr>
                <w:i/>
                <w:iCs/>
                <w:shd w:val="clear" w:color="auto" w:fill="FFFFFF"/>
              </w:rPr>
              <w:t xml:space="preserve">Br J </w:t>
            </w:r>
            <w:proofErr w:type="spellStart"/>
            <w:r w:rsidRPr="00FF1B04">
              <w:rPr>
                <w:i/>
                <w:iCs/>
                <w:shd w:val="clear" w:color="auto" w:fill="FFFFFF"/>
              </w:rPr>
              <w:t>Haematol</w:t>
            </w:r>
            <w:proofErr w:type="spellEnd"/>
            <w:r w:rsidRPr="00FF1B04">
              <w:rPr>
                <w:shd w:val="clear" w:color="auto" w:fill="FFFFFF"/>
              </w:rPr>
              <w:t xml:space="preserve"> </w:t>
            </w:r>
            <w:proofErr w:type="gramStart"/>
            <w:r w:rsidRPr="00FF1B04">
              <w:rPr>
                <w:shd w:val="clear" w:color="auto" w:fill="FFFFFF"/>
              </w:rPr>
              <w:t>2023;202:734</w:t>
            </w:r>
            <w:proofErr w:type="gramEnd"/>
            <w:r>
              <w:rPr>
                <w:shd w:val="clear" w:color="auto" w:fill="FFFFFF"/>
              </w:rPr>
              <w:t>–</w:t>
            </w:r>
            <w:r w:rsidRPr="00FF1B04">
              <w:rPr>
                <w:shd w:val="clear" w:color="auto" w:fill="FFFFFF"/>
              </w:rPr>
              <w:t>744.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450A7971" w:rsidR="009929C5" w:rsidRPr="001F037A" w:rsidRDefault="00860AF9" w:rsidP="00D03AF6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D03AF6">
        <w:t>patients (</w:t>
      </w:r>
      <w:r w:rsidR="00D03AF6" w:rsidRPr="00D03AF6">
        <w:t>Investigation and management of the monoclonal gammopathy of undetermined significance</w:t>
      </w:r>
      <w:r w:rsidR="00D03AF6">
        <w:t>)</w:t>
      </w:r>
    </w:p>
    <w:p w14:paraId="3C2E1AFD" w14:textId="4F8E8F89" w:rsidR="00253E1A" w:rsidRPr="009349D7" w:rsidRDefault="009929C5" w:rsidP="001F037A">
      <w:pPr>
        <w:pStyle w:val="Heading2"/>
      </w:pPr>
      <w:r w:rsidRPr="009349D7">
        <w:t xml:space="preserve">Audit reviewing </w:t>
      </w:r>
      <w:proofErr w:type="gramStart"/>
      <w:r w:rsidR="00D03AF6">
        <w:t>practice</w:t>
      </w:r>
      <w:proofErr w:type="gramEnd"/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416419BC" w14:textId="77777777" w:rsidR="00D03AF6" w:rsidRPr="00D03AF6" w:rsidRDefault="00D03AF6" w:rsidP="00D03AF6">
      <w:r w:rsidRPr="00D03AF6">
        <w:t>Unit number(s)</w:t>
      </w:r>
    </w:p>
    <w:p w14:paraId="383C2930" w14:textId="77777777" w:rsidR="00D03AF6" w:rsidRPr="00D03AF6" w:rsidRDefault="00D03AF6" w:rsidP="00D03AF6">
      <w:r w:rsidRPr="00D03AF6">
        <w:t>Date of transfusion:</w:t>
      </w:r>
    </w:p>
    <w:p w14:paraId="7704D72C" w14:textId="77777777" w:rsidR="00D03AF6" w:rsidRPr="00D03AF6" w:rsidRDefault="00D03AF6" w:rsidP="00D03AF6">
      <w:r w:rsidRPr="00D03AF6">
        <w:t>(Note: a separate form should be completed for each transfusion episode.)</w:t>
      </w:r>
    </w:p>
    <w:p w14:paraId="0FBFB0CB" w14:textId="77777777" w:rsidR="00D03AF6" w:rsidRPr="00D03AF6" w:rsidRDefault="00D03AF6" w:rsidP="00D03AF6"/>
    <w:p w14:paraId="47EE0E53" w14:textId="77777777" w:rsidR="00D03AF6" w:rsidRPr="00D03AF6" w:rsidRDefault="00D03AF6" w:rsidP="00D03AF6">
      <w:pPr>
        <w:rPr>
          <w:b/>
          <w:bCs/>
        </w:rPr>
      </w:pPr>
      <w:r w:rsidRPr="00D03AF6">
        <w:rPr>
          <w:b/>
          <w:bCs/>
        </w:rPr>
        <w:t>Given to:</w:t>
      </w:r>
    </w:p>
    <w:p w14:paraId="12A850EF" w14:textId="77777777" w:rsidR="00D03AF6" w:rsidRPr="00D03AF6" w:rsidRDefault="00D03AF6" w:rsidP="00D03AF6">
      <w:r w:rsidRPr="00D03AF6">
        <w:t xml:space="preserve">Patient name:          </w:t>
      </w:r>
    </w:p>
    <w:p w14:paraId="5E359EF0" w14:textId="77777777" w:rsidR="00D03AF6" w:rsidRPr="00D03AF6" w:rsidRDefault="00D03AF6" w:rsidP="00D03AF6">
      <w:r w:rsidRPr="00D03AF6">
        <w:t>Hospital number:</w:t>
      </w:r>
    </w:p>
    <w:p w14:paraId="4A1F4D48" w14:textId="77777777" w:rsidR="00D03AF6" w:rsidRPr="00D03AF6" w:rsidRDefault="00D03AF6" w:rsidP="00D03AF6">
      <w:r w:rsidRPr="00D03AF6">
        <w:t>Date of birth: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4"/>
        <w:gridCol w:w="688"/>
        <w:gridCol w:w="665"/>
        <w:gridCol w:w="2154"/>
        <w:gridCol w:w="2877"/>
      </w:tblGrid>
      <w:tr w:rsidR="00D03AF6" w:rsidRPr="00D03AF6" w14:paraId="443D6CFD" w14:textId="77777777" w:rsidTr="00956863">
        <w:trPr>
          <w:cantSplit/>
          <w:trHeight w:val="128"/>
        </w:trPr>
        <w:tc>
          <w:tcPr>
            <w:tcW w:w="3341" w:type="dxa"/>
            <w:tcBorders>
              <w:bottom w:val="single" w:sz="4" w:space="0" w:color="auto"/>
            </w:tcBorders>
          </w:tcPr>
          <w:p w14:paraId="1C706427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Standard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EBEFD8B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1</w:t>
            </w:r>
          </w:p>
          <w:p w14:paraId="20117B04" w14:textId="77777777" w:rsidR="00D03AF6" w:rsidRPr="00D03AF6" w:rsidRDefault="00D03AF6" w:rsidP="00D03AF6">
            <w:pPr>
              <w:pStyle w:val="Tabletext"/>
            </w:pPr>
            <w:r w:rsidRPr="00D03AF6">
              <w:rPr>
                <w:b/>
                <w:bCs/>
              </w:rPr>
              <w:t xml:space="preserve">Yes 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59A900CC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2</w:t>
            </w:r>
          </w:p>
          <w:p w14:paraId="439082BA" w14:textId="77777777" w:rsidR="00D03AF6" w:rsidRPr="00D03AF6" w:rsidRDefault="00D03AF6" w:rsidP="00D03AF6">
            <w:pPr>
              <w:pStyle w:val="Tabletext"/>
            </w:pPr>
            <w:r w:rsidRPr="00D03AF6">
              <w:rPr>
                <w:b/>
                <w:bCs/>
              </w:rPr>
              <w:t>No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19F3F3A3" w14:textId="77777777" w:rsidR="00D03AF6" w:rsidRPr="00D03AF6" w:rsidRDefault="00D03AF6" w:rsidP="00D03AF6">
            <w:pPr>
              <w:pStyle w:val="Tabletext"/>
            </w:pPr>
            <w:r w:rsidRPr="00D03AF6">
              <w:rPr>
                <w:b/>
                <w:bCs/>
              </w:rPr>
              <w:t>3</w:t>
            </w:r>
            <w:r w:rsidRPr="00D03AF6">
              <w:t xml:space="preserve"> If shaded box not ticked, was there documentation to explain the variance?</w:t>
            </w:r>
            <w:r w:rsidRPr="00D03AF6">
              <w:br/>
            </w:r>
            <w:r w:rsidRPr="00D03AF6">
              <w:rPr>
                <w:b/>
                <w:bCs/>
              </w:rPr>
              <w:t xml:space="preserve">Yes/No </w:t>
            </w:r>
            <w:r w:rsidRPr="00D03AF6">
              <w:t>plus free-text comment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3ED6746E" w14:textId="77777777" w:rsidR="00D03AF6" w:rsidRPr="00D03AF6" w:rsidRDefault="00D03AF6" w:rsidP="00D03AF6">
            <w:pPr>
              <w:pStyle w:val="Tabletext"/>
            </w:pPr>
            <w:r w:rsidRPr="00D03AF6">
              <w:rPr>
                <w:b/>
                <w:bCs/>
              </w:rPr>
              <w:t xml:space="preserve">4 </w:t>
            </w:r>
            <w:r w:rsidRPr="00D03AF6">
              <w:t xml:space="preserve">Compliant with guideline if shaded box ticked or an appropriate explanation from column 3. </w:t>
            </w:r>
            <w:r w:rsidRPr="00D03AF6">
              <w:rPr>
                <w:b/>
                <w:bCs/>
              </w:rPr>
              <w:t>Yes/No</w:t>
            </w:r>
            <w:r w:rsidRPr="00D03AF6">
              <w:br/>
              <w:t>(Record if standard not applicable)</w:t>
            </w:r>
          </w:p>
        </w:tc>
      </w:tr>
      <w:tr w:rsidR="00D03AF6" w:rsidRPr="00D03AF6" w14:paraId="04EFCC88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854" w:type="dxa"/>
            <w:gridSpan w:val="5"/>
          </w:tcPr>
          <w:p w14:paraId="038AF543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For patients experiencing abnormal results</w:t>
            </w:r>
          </w:p>
        </w:tc>
      </w:tr>
      <w:tr w:rsidR="00D03AF6" w:rsidRPr="00D03AF6" w14:paraId="0AF740D1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7E8631ED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1</w:t>
            </w:r>
            <w:r w:rsidRPr="00D03AF6">
              <w:t>  Where</w:t>
            </w:r>
            <w:proofErr w:type="gramEnd"/>
            <w:r w:rsidRPr="00D03AF6">
              <w:t xml:space="preserve"> a new M-protein was detected, IFE was performed to confirm the type of monoclonal protein, and a serum FLC assay was carried out to measure FLC levels and calculate the FLC ratio</w:t>
            </w:r>
          </w:p>
        </w:tc>
        <w:tc>
          <w:tcPr>
            <w:tcW w:w="691" w:type="dxa"/>
            <w:shd w:val="clear" w:color="auto" w:fill="D9D9D9"/>
          </w:tcPr>
          <w:p w14:paraId="7D365DF6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29BF92CA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356F22EE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039BCC3F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11116242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4A7E40AE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2 </w:t>
            </w:r>
            <w:r w:rsidRPr="00D03AF6">
              <w:t> Where</w:t>
            </w:r>
            <w:proofErr w:type="gramEnd"/>
            <w:r w:rsidRPr="00D03AF6">
              <w:t xml:space="preserve"> MGUS or myeloma was suspected, laboratory diagnostic sets were used</w:t>
            </w:r>
          </w:p>
        </w:tc>
        <w:tc>
          <w:tcPr>
            <w:tcW w:w="691" w:type="dxa"/>
            <w:shd w:val="clear" w:color="auto" w:fill="D9D9D9"/>
          </w:tcPr>
          <w:p w14:paraId="68843A3C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33BB06A2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28FA51D7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2622688B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2FA52D1F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62F33592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lastRenderedPageBreak/>
              <w:t>3</w:t>
            </w:r>
            <w:r w:rsidRPr="00D03AF6">
              <w:t>  Where</w:t>
            </w:r>
            <w:proofErr w:type="gramEnd"/>
            <w:r w:rsidRPr="00D03AF6">
              <w:t xml:space="preserve"> a patient had a significantly abnormal result, an appropriate laboratory flagging system was used to alert primary or secondary care physicians</w:t>
            </w:r>
          </w:p>
        </w:tc>
        <w:tc>
          <w:tcPr>
            <w:tcW w:w="691" w:type="dxa"/>
            <w:shd w:val="clear" w:color="auto" w:fill="D9D9D9"/>
          </w:tcPr>
          <w:p w14:paraId="275B19B4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6CF5C4F0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2B910E05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76D39FC5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0532CAC1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6EC0CF1B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4</w:t>
            </w:r>
            <w:r w:rsidRPr="00D03AF6">
              <w:t>  Where</w:t>
            </w:r>
            <w:proofErr w:type="gramEnd"/>
            <w:r w:rsidRPr="00D03AF6">
              <w:t xml:space="preserve"> a patient showed signs of renal impairment an ACR test was performed and patients were considered for appropriate referral</w:t>
            </w:r>
          </w:p>
        </w:tc>
        <w:tc>
          <w:tcPr>
            <w:tcW w:w="691" w:type="dxa"/>
            <w:shd w:val="clear" w:color="auto" w:fill="D9D9D9"/>
          </w:tcPr>
          <w:p w14:paraId="75D63EA2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372DC88F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7273EB97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6421F14C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6E130FBA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854" w:type="dxa"/>
            <w:gridSpan w:val="5"/>
          </w:tcPr>
          <w:p w14:paraId="0898EEF0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Risk stratification for MGUS</w:t>
            </w:r>
          </w:p>
        </w:tc>
      </w:tr>
      <w:tr w:rsidR="00D03AF6" w:rsidRPr="00D03AF6" w14:paraId="41880625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6C4F48A8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1</w:t>
            </w:r>
            <w:r w:rsidRPr="00D03AF6">
              <w:t>  Where</w:t>
            </w:r>
            <w:proofErr w:type="gramEnd"/>
            <w:r w:rsidRPr="00D03AF6">
              <w:t xml:space="preserve"> a patient was newly diagnosed with MGUS, they were risk stratified at diagnosis using a validated published model</w:t>
            </w:r>
          </w:p>
        </w:tc>
        <w:tc>
          <w:tcPr>
            <w:tcW w:w="691" w:type="dxa"/>
            <w:shd w:val="clear" w:color="auto" w:fill="D9D9D9"/>
          </w:tcPr>
          <w:p w14:paraId="38A33910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68D0E12B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305B1DF7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3299636C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350CBEE9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1A60801A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  <w:iCs/>
              </w:rPr>
              <w:t>2</w:t>
            </w:r>
            <w:r w:rsidRPr="00D03AF6">
              <w:rPr>
                <w:iCs/>
              </w:rPr>
              <w:t>  Where</w:t>
            </w:r>
            <w:proofErr w:type="gramEnd"/>
            <w:r w:rsidRPr="00D03AF6">
              <w:rPr>
                <w:iCs/>
              </w:rPr>
              <w:t xml:space="preserve"> risk stratification was performed, it was in either secondary care or primary care, and it was directed by local guidelines produced in secondary care</w:t>
            </w:r>
          </w:p>
        </w:tc>
        <w:tc>
          <w:tcPr>
            <w:tcW w:w="691" w:type="dxa"/>
            <w:shd w:val="clear" w:color="auto" w:fill="D9D9D9"/>
          </w:tcPr>
          <w:p w14:paraId="031F23F1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5CB27465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4528281A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30973D05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2F7519EF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4504BF2B" w14:textId="1468813E" w:rsidR="00D03AF6" w:rsidRPr="00D03AF6" w:rsidRDefault="00D03AF6" w:rsidP="00CD3DA6">
            <w:pPr>
              <w:pStyle w:val="Tabletext"/>
              <w:rPr>
                <w:i/>
                <w:iCs/>
              </w:rPr>
            </w:pPr>
            <w:proofErr w:type="gramStart"/>
            <w:r w:rsidRPr="00D03AF6">
              <w:rPr>
                <w:b/>
                <w:bCs/>
              </w:rPr>
              <w:t>3</w:t>
            </w:r>
            <w:r w:rsidRPr="00D03AF6">
              <w:t>  </w:t>
            </w:r>
            <w:r w:rsidR="00CD3DA6" w:rsidRPr="00CD3DA6">
              <w:t>Where</w:t>
            </w:r>
            <w:proofErr w:type="gramEnd"/>
            <w:r w:rsidR="00CD3DA6" w:rsidRPr="00CD3DA6">
              <w:t xml:space="preserve"> patients were newly diagnosed with low</w:t>
            </w:r>
            <w:r w:rsidR="00CD3DA6">
              <w:t>-</w:t>
            </w:r>
            <w:r w:rsidR="00CD3DA6" w:rsidRPr="00CD3DA6">
              <w:t xml:space="preserve"> or low</w:t>
            </w:r>
            <w:r w:rsidR="00CD3DA6">
              <w:t>–</w:t>
            </w:r>
            <w:r w:rsidR="00CD3DA6" w:rsidRPr="00CD3DA6">
              <w:t>intermediate-risk MGUS, a BM examination and a whole-body imaging investigation were not performed</w:t>
            </w:r>
          </w:p>
        </w:tc>
        <w:tc>
          <w:tcPr>
            <w:tcW w:w="691" w:type="dxa"/>
            <w:shd w:val="clear" w:color="auto" w:fill="D9D9D9"/>
          </w:tcPr>
          <w:p w14:paraId="6226BC3F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03109EBF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2FA6C168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2B567938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0CF543C9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3A70AF54" w14:textId="6DE13295" w:rsidR="00D03AF6" w:rsidRPr="00D03AF6" w:rsidRDefault="00D03AF6" w:rsidP="00CD3DA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4</w:t>
            </w:r>
            <w:r w:rsidRPr="00D03AF6">
              <w:t> </w:t>
            </w:r>
            <w:r w:rsidR="00CD3DA6">
              <w:t xml:space="preserve"> </w:t>
            </w:r>
            <w:r w:rsidR="00CD3DA6" w:rsidRPr="00CD3DA6">
              <w:t>Where</w:t>
            </w:r>
            <w:proofErr w:type="gramEnd"/>
            <w:r w:rsidR="00CD3DA6" w:rsidRPr="00CD3DA6">
              <w:t xml:space="preserve"> a patient was newly diagnosed with MGUS, they underwent blood and urine tests to enable risk stratification using the Mayo criteria</w:t>
            </w:r>
          </w:p>
        </w:tc>
        <w:tc>
          <w:tcPr>
            <w:tcW w:w="691" w:type="dxa"/>
            <w:shd w:val="clear" w:color="auto" w:fill="D9D9D9"/>
          </w:tcPr>
          <w:p w14:paraId="10030AA0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5FBB5F2F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323F7DB8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48C6C80C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13FC1B1E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854" w:type="dxa"/>
            <w:gridSpan w:val="5"/>
          </w:tcPr>
          <w:p w14:paraId="38363E2D" w14:textId="77777777" w:rsidR="00D03AF6" w:rsidRPr="00D03AF6" w:rsidRDefault="00D03AF6" w:rsidP="00D03AF6">
            <w:pPr>
              <w:pStyle w:val="Tabletext"/>
              <w:rPr>
                <w:b/>
                <w:bCs/>
              </w:rPr>
            </w:pPr>
            <w:r w:rsidRPr="00D03AF6">
              <w:rPr>
                <w:b/>
                <w:bCs/>
              </w:rPr>
              <w:t>Information and support for patients diagnosed with MGUS</w:t>
            </w:r>
          </w:p>
        </w:tc>
      </w:tr>
      <w:tr w:rsidR="00D03AF6" w:rsidRPr="00D03AF6" w14:paraId="1EDC9E7E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49A90E69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t>1</w:t>
            </w:r>
            <w:r w:rsidRPr="00D03AF6">
              <w:t>  Any</w:t>
            </w:r>
            <w:proofErr w:type="gramEnd"/>
            <w:r w:rsidRPr="00D03AF6">
              <w:t xml:space="preserve"> decision to treat MGCS with systemic chemotherapy was made by an MDT with suitable sub-specialty representation</w:t>
            </w:r>
          </w:p>
        </w:tc>
        <w:tc>
          <w:tcPr>
            <w:tcW w:w="691" w:type="dxa"/>
            <w:shd w:val="clear" w:color="auto" w:fill="D9D9D9"/>
          </w:tcPr>
          <w:p w14:paraId="759ABB0B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</w:tcPr>
          <w:p w14:paraId="4C067A39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2F8BC5D5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20315027" w14:textId="77777777" w:rsidR="00D03AF6" w:rsidRPr="00D03AF6" w:rsidRDefault="00D03AF6" w:rsidP="00D03AF6">
            <w:pPr>
              <w:pStyle w:val="Tabletext"/>
            </w:pPr>
          </w:p>
        </w:tc>
      </w:tr>
      <w:tr w:rsidR="00D03AF6" w:rsidRPr="00D03AF6" w14:paraId="0BA1D13B" w14:textId="77777777" w:rsidTr="0095686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1" w:type="dxa"/>
          </w:tcPr>
          <w:p w14:paraId="10B915B4" w14:textId="77777777" w:rsidR="00D03AF6" w:rsidRPr="00D03AF6" w:rsidRDefault="00D03AF6" w:rsidP="00D03AF6">
            <w:pPr>
              <w:pStyle w:val="Tabletext"/>
            </w:pPr>
            <w:proofErr w:type="gramStart"/>
            <w:r w:rsidRPr="00D03AF6">
              <w:rPr>
                <w:b/>
                <w:bCs/>
              </w:rPr>
              <w:lastRenderedPageBreak/>
              <w:t>2</w:t>
            </w:r>
            <w:r w:rsidRPr="00D03AF6">
              <w:t>  Patients</w:t>
            </w:r>
            <w:proofErr w:type="gramEnd"/>
            <w:r w:rsidRPr="00D03AF6">
              <w:t xml:space="preserve"> with MGUS were provided with clear information and psychological support at the time of their diagnosis</w:t>
            </w:r>
          </w:p>
        </w:tc>
        <w:tc>
          <w:tcPr>
            <w:tcW w:w="691" w:type="dxa"/>
            <w:shd w:val="clear" w:color="auto" w:fill="D9D9D9"/>
          </w:tcPr>
          <w:p w14:paraId="27824A46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673" w:type="dxa"/>
            <w:shd w:val="clear" w:color="auto" w:fill="FFFFFF"/>
          </w:tcPr>
          <w:p w14:paraId="4C681587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178" w:type="dxa"/>
          </w:tcPr>
          <w:p w14:paraId="500EBB6D" w14:textId="77777777" w:rsidR="00D03AF6" w:rsidRPr="00D03AF6" w:rsidRDefault="00D03AF6" w:rsidP="00D03AF6">
            <w:pPr>
              <w:pStyle w:val="Tabletext"/>
            </w:pPr>
          </w:p>
        </w:tc>
        <w:tc>
          <w:tcPr>
            <w:tcW w:w="2971" w:type="dxa"/>
          </w:tcPr>
          <w:p w14:paraId="60392734" w14:textId="77777777" w:rsidR="00D03AF6" w:rsidRPr="00D03AF6" w:rsidRDefault="00D03AF6" w:rsidP="00D03AF6">
            <w:pPr>
              <w:pStyle w:val="Tabletext"/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0309E1D0" w:rsidR="002806C7" w:rsidRPr="009349D7" w:rsidRDefault="00D03AF6" w:rsidP="001F037A">
            <w:pPr>
              <w:pStyle w:val="Tabletext"/>
              <w:spacing w:line="360" w:lineRule="auto"/>
            </w:pPr>
            <w:r w:rsidRPr="00D03AF6">
              <w:rPr>
                <w:rStyle w:val="cf01"/>
                <w:rFonts w:ascii="Arial" w:hAnsi="Arial" w:cs="Arial"/>
                <w:sz w:val="24"/>
                <w:szCs w:val="24"/>
              </w:rPr>
              <w:t>An audit of compliance with the BSH guideline (Investigation and management of the monoclonal gammopathy of undetermined significance)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632752EF" w:rsidR="00590DC3" w:rsidRPr="00D366F9" w:rsidRDefault="00DD172C" w:rsidP="00CD3DA6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CD3DA6" w:rsidRPr="00CD3DA6">
      <w:rPr>
        <w:rFonts w:cs="Arial"/>
        <w:sz w:val="20"/>
        <w:szCs w:val="20"/>
      </w:rPr>
      <w:t>220224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5AEA2200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r w:rsidR="00CD3DA6">
      <w:rPr>
        <w:rFonts w:cs="Arial"/>
        <w:sz w:val="20"/>
        <w:szCs w:val="20"/>
      </w:rPr>
      <w:t>220224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30FE" w14:textId="346FA4DB" w:rsidR="00590DC3" w:rsidRPr="00927185" w:rsidRDefault="00D03AF6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EAF57C5" wp14:editId="6D34735A">
          <wp:simplePos x="0" y="0"/>
          <wp:positionH relativeFrom="margin">
            <wp:align>right</wp:align>
          </wp:positionH>
          <wp:positionV relativeFrom="paragraph">
            <wp:posOffset>168910</wp:posOffset>
          </wp:positionV>
          <wp:extent cx="2258060" cy="662940"/>
          <wp:effectExtent l="0" t="0" r="8890" b="3810"/>
          <wp:wrapNone/>
          <wp:docPr id="1665802030" name="Picture 1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5613"/>
    <w:multiLevelType w:val="hybridMultilevel"/>
    <w:tmpl w:val="B7F017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42E8"/>
    <w:multiLevelType w:val="hybridMultilevel"/>
    <w:tmpl w:val="DEA889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61609"/>
    <w:multiLevelType w:val="hybridMultilevel"/>
    <w:tmpl w:val="3DDC7C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9"/>
  </w:num>
  <w:num w:numId="2" w16cid:durableId="1188449754">
    <w:abstractNumId w:val="24"/>
  </w:num>
  <w:num w:numId="3" w16cid:durableId="1837838498">
    <w:abstractNumId w:val="7"/>
  </w:num>
  <w:num w:numId="4" w16cid:durableId="1977566131">
    <w:abstractNumId w:val="8"/>
  </w:num>
  <w:num w:numId="5" w16cid:durableId="1911698097">
    <w:abstractNumId w:val="18"/>
  </w:num>
  <w:num w:numId="6" w16cid:durableId="1681543166">
    <w:abstractNumId w:val="29"/>
  </w:num>
  <w:num w:numId="7" w16cid:durableId="2110732581">
    <w:abstractNumId w:val="13"/>
  </w:num>
  <w:num w:numId="8" w16cid:durableId="150567517">
    <w:abstractNumId w:val="20"/>
  </w:num>
  <w:num w:numId="9" w16cid:durableId="118693893">
    <w:abstractNumId w:val="14"/>
  </w:num>
  <w:num w:numId="10" w16cid:durableId="356666159">
    <w:abstractNumId w:val="2"/>
  </w:num>
  <w:num w:numId="11" w16cid:durableId="13655170">
    <w:abstractNumId w:val="28"/>
  </w:num>
  <w:num w:numId="12" w16cid:durableId="937830974">
    <w:abstractNumId w:val="32"/>
  </w:num>
  <w:num w:numId="13" w16cid:durableId="1311669074">
    <w:abstractNumId w:val="27"/>
  </w:num>
  <w:num w:numId="14" w16cid:durableId="1241059685">
    <w:abstractNumId w:val="26"/>
  </w:num>
  <w:num w:numId="15" w16cid:durableId="2138598035">
    <w:abstractNumId w:val="3"/>
  </w:num>
  <w:num w:numId="16" w16cid:durableId="1676764879">
    <w:abstractNumId w:val="33"/>
  </w:num>
  <w:num w:numId="17" w16cid:durableId="1758669902">
    <w:abstractNumId w:val="23"/>
  </w:num>
  <w:num w:numId="18" w16cid:durableId="1935357735">
    <w:abstractNumId w:val="11"/>
  </w:num>
  <w:num w:numId="19" w16cid:durableId="382631689">
    <w:abstractNumId w:val="31"/>
  </w:num>
  <w:num w:numId="20" w16cid:durableId="1163424478">
    <w:abstractNumId w:val="22"/>
  </w:num>
  <w:num w:numId="21" w16cid:durableId="156192729">
    <w:abstractNumId w:val="19"/>
  </w:num>
  <w:num w:numId="22" w16cid:durableId="1930310314">
    <w:abstractNumId w:val="30"/>
  </w:num>
  <w:num w:numId="23" w16cid:durableId="922880505">
    <w:abstractNumId w:val="21"/>
  </w:num>
  <w:num w:numId="24" w16cid:durableId="661615937">
    <w:abstractNumId w:val="16"/>
  </w:num>
  <w:num w:numId="25" w16cid:durableId="1329015147">
    <w:abstractNumId w:val="4"/>
  </w:num>
  <w:num w:numId="26" w16cid:durableId="214778267">
    <w:abstractNumId w:val="12"/>
  </w:num>
  <w:num w:numId="27" w16cid:durableId="1755466984">
    <w:abstractNumId w:val="15"/>
  </w:num>
  <w:num w:numId="28" w16cid:durableId="1748458345">
    <w:abstractNumId w:val="10"/>
  </w:num>
  <w:num w:numId="29" w16cid:durableId="1067455065">
    <w:abstractNumId w:val="6"/>
  </w:num>
  <w:num w:numId="30" w16cid:durableId="1740667139">
    <w:abstractNumId w:val="17"/>
  </w:num>
  <w:num w:numId="31" w16cid:durableId="797454649">
    <w:abstractNumId w:val="0"/>
  </w:num>
  <w:num w:numId="32" w16cid:durableId="956133439">
    <w:abstractNumId w:val="5"/>
  </w:num>
  <w:num w:numId="33" w16cid:durableId="12266414">
    <w:abstractNumId w:val="25"/>
  </w:num>
  <w:num w:numId="34" w16cid:durableId="210298660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35DC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A69C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CD3DA6"/>
    <w:rsid w:val="00D03AF6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dd6b1-1bdd-48bc-8338-3b4e6df3a7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2A1869ABF664495F6F7442ED8905E" ma:contentTypeVersion="14" ma:contentTypeDescription="Create a new document." ma:contentTypeScope="" ma:versionID="1bdb9a9f285864c471c98fdf3221c7b4">
  <xsd:schema xmlns:xsd="http://www.w3.org/2001/XMLSchema" xmlns:xs="http://www.w3.org/2001/XMLSchema" xmlns:p="http://schemas.microsoft.com/office/2006/metadata/properties" xmlns:ns3="8a8dd6b1-1bdd-48bc-8338-3b4e6df3a7a2" xmlns:ns4="ece0de11-34b2-45db-9861-7f336bb59a73" targetNamespace="http://schemas.microsoft.com/office/2006/metadata/properties" ma:root="true" ma:fieldsID="50b246053a77af052dc15b59e962ca95" ns3:_="" ns4:_="">
    <xsd:import namespace="8a8dd6b1-1bdd-48bc-8338-3b4e6df3a7a2"/>
    <xsd:import namespace="ece0de11-34b2-45db-9861-7f336bb5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dd6b1-1bdd-48bc-8338-3b4e6df3a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de11-34b2-45db-9861-7f336bb59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9F464-91B5-4640-8604-589C3727768D}">
  <ds:schemaRefs>
    <ds:schemaRef ds:uri="8a8dd6b1-1bdd-48bc-8338-3b4e6df3a7a2"/>
    <ds:schemaRef ds:uri="http://schemas.microsoft.com/office/2006/documentManagement/types"/>
    <ds:schemaRef ds:uri="http://purl.org/dc/dcmitype/"/>
    <ds:schemaRef ds:uri="ece0de11-34b2-45db-9861-7f336bb59a73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37B45A-7A6B-40E5-AFDB-FF085CB7E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dd6b1-1bdd-48bc-8338-3b4e6df3a7a2"/>
    <ds:schemaRef ds:uri="ece0de11-34b2-45db-9861-7f336bb5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8</Pages>
  <Words>1114</Words>
  <Characters>6485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2</cp:revision>
  <cp:lastPrinted>2011-10-27T15:55:00Z</cp:lastPrinted>
  <dcterms:created xsi:type="dcterms:W3CDTF">2024-02-22T14:40:00Z</dcterms:created>
  <dcterms:modified xsi:type="dcterms:W3CDTF">2024-02-22T14:40:00Z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0x0101007622A1869ABF664495F6F7442ED8905E</vt:lpwstr>
  </property>
</Properties>
</file>